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1A89" w:rsidRPr="00B12091" w:rsidRDefault="00BD1A89" w:rsidP="0097447A">
      <w:pPr>
        <w:pStyle w:val="Geenafstand"/>
        <w:spacing w:line="276" w:lineRule="auto"/>
        <w:contextualSpacing/>
        <w:rPr>
          <w:rFonts w:ascii="Verdana" w:hAnsi="Verdana"/>
          <w:b/>
          <w:sz w:val="18"/>
          <w:szCs w:val="18"/>
          <w:u w:val="single"/>
          <w:lang w:val="en-GB"/>
        </w:rPr>
      </w:pPr>
      <w:r w:rsidRPr="004D3DC6">
        <w:rPr>
          <w:rFonts w:ascii="Verdana" w:hAnsi="Verdana"/>
          <w:b/>
          <w:color w:val="4472C4" w:themeColor="accent5"/>
          <w:szCs w:val="18"/>
          <w:lang w:val="en-GB"/>
        </w:rPr>
        <w:t>Case study – Exercise: Multi-criteria analysis</w:t>
      </w:r>
      <w:r>
        <w:rPr>
          <w:rFonts w:ascii="Verdana" w:hAnsi="Verdana"/>
          <w:b/>
          <w:color w:val="4472C4" w:themeColor="accent5"/>
          <w:szCs w:val="18"/>
          <w:lang w:val="en-GB"/>
        </w:rPr>
        <w:t xml:space="preserve"> – the Late Payment Directive</w:t>
      </w:r>
    </w:p>
    <w:p w:rsidR="00BD1A89" w:rsidRDefault="00BD1A89" w:rsidP="0097447A">
      <w:pPr>
        <w:pStyle w:val="Geenafstand"/>
        <w:spacing w:line="276" w:lineRule="auto"/>
        <w:contextualSpacing/>
        <w:rPr>
          <w:rFonts w:ascii="Verdana" w:hAnsi="Verdana"/>
          <w:b/>
          <w:color w:val="4472C4" w:themeColor="accent5"/>
          <w:sz w:val="20"/>
          <w:szCs w:val="18"/>
          <w:lang w:val="en-GB"/>
        </w:rPr>
      </w:pPr>
    </w:p>
    <w:p w:rsidR="00B12091" w:rsidRPr="00B12091" w:rsidRDefault="00B12091" w:rsidP="0097447A">
      <w:pPr>
        <w:pStyle w:val="Geenafstand"/>
        <w:spacing w:line="276" w:lineRule="auto"/>
        <w:contextualSpacing/>
        <w:rPr>
          <w:rFonts w:ascii="Verdana" w:hAnsi="Verdana"/>
          <w:sz w:val="16"/>
          <w:szCs w:val="18"/>
          <w:lang w:val="en-GB"/>
        </w:rPr>
      </w:pPr>
      <w:r w:rsidRPr="00B12091">
        <w:rPr>
          <w:rFonts w:ascii="Verdana" w:hAnsi="Verdana"/>
          <w:b/>
          <w:color w:val="4472C4" w:themeColor="accent5"/>
          <w:sz w:val="20"/>
          <w:szCs w:val="18"/>
          <w:lang w:val="en-GB"/>
        </w:rPr>
        <w:t>Part 1: assignments</w:t>
      </w:r>
    </w:p>
    <w:p w:rsidR="00B12091" w:rsidRPr="004D3DC6" w:rsidRDefault="00B12091" w:rsidP="0097447A">
      <w:pPr>
        <w:spacing w:after="0" w:line="276" w:lineRule="auto"/>
        <w:ind w:right="50"/>
        <w:contextualSpacing/>
        <w:rPr>
          <w:rFonts w:ascii="Verdana" w:hAnsi="Verdana"/>
          <w:sz w:val="18"/>
          <w:szCs w:val="18"/>
        </w:rPr>
      </w:pPr>
    </w:p>
    <w:p w:rsidR="0023731A" w:rsidRPr="004D3DC6" w:rsidRDefault="0023731A" w:rsidP="0097447A">
      <w:pPr>
        <w:spacing w:after="0" w:line="276" w:lineRule="auto"/>
        <w:ind w:right="50"/>
        <w:contextualSpacing/>
        <w:jc w:val="both"/>
        <w:rPr>
          <w:rFonts w:ascii="Verdana" w:hAnsi="Verdana"/>
          <w:sz w:val="18"/>
          <w:szCs w:val="18"/>
        </w:rPr>
      </w:pPr>
    </w:p>
    <w:p w:rsidR="00385B66" w:rsidRDefault="009E1B86" w:rsidP="0097447A">
      <w:pPr>
        <w:numPr>
          <w:ilvl w:val="0"/>
          <w:numId w:val="1"/>
        </w:numPr>
        <w:spacing w:after="0" w:line="276" w:lineRule="auto"/>
        <w:contextualSpacing/>
        <w:jc w:val="both"/>
        <w:rPr>
          <w:rFonts w:ascii="Verdana" w:hAnsi="Verdana"/>
          <w:sz w:val="18"/>
          <w:szCs w:val="18"/>
        </w:rPr>
      </w:pPr>
      <w:r w:rsidRPr="004D3DC6">
        <w:rPr>
          <w:rFonts w:ascii="Verdana" w:hAnsi="Verdana"/>
          <w:sz w:val="18"/>
          <w:szCs w:val="18"/>
        </w:rPr>
        <w:t>Think about different policy measures/options to reduce late payments</w:t>
      </w:r>
    </w:p>
    <w:p w:rsidR="0097447A" w:rsidRPr="004D3DC6" w:rsidRDefault="0097447A" w:rsidP="0097447A">
      <w:pPr>
        <w:spacing w:after="0" w:line="276" w:lineRule="auto"/>
        <w:ind w:left="720"/>
        <w:contextualSpacing/>
        <w:jc w:val="both"/>
        <w:rPr>
          <w:rFonts w:ascii="Verdana" w:hAnsi="Verdana"/>
          <w:sz w:val="18"/>
          <w:szCs w:val="18"/>
        </w:rPr>
      </w:pPr>
    </w:p>
    <w:p w:rsidR="00DF1A27" w:rsidRPr="004D3DC6" w:rsidRDefault="00DF1A27" w:rsidP="0097447A">
      <w:pPr>
        <w:numPr>
          <w:ilvl w:val="0"/>
          <w:numId w:val="1"/>
        </w:numPr>
        <w:spacing w:after="0" w:line="276" w:lineRule="auto"/>
        <w:ind w:right="50"/>
        <w:contextualSpacing/>
        <w:jc w:val="both"/>
        <w:rPr>
          <w:rFonts w:ascii="Verdana" w:hAnsi="Verdana"/>
          <w:sz w:val="18"/>
          <w:szCs w:val="18"/>
        </w:rPr>
      </w:pPr>
      <w:r w:rsidRPr="004D3DC6">
        <w:rPr>
          <w:rFonts w:ascii="Verdana" w:hAnsi="Verdana"/>
          <w:sz w:val="18"/>
          <w:szCs w:val="18"/>
        </w:rPr>
        <w:t>Divide the 15 policy measures</w:t>
      </w:r>
      <w:r w:rsidR="009A5314">
        <w:rPr>
          <w:rFonts w:ascii="Verdana" w:hAnsi="Verdana"/>
          <w:sz w:val="18"/>
          <w:szCs w:val="18"/>
        </w:rPr>
        <w:t xml:space="preserve"> in Part 2</w:t>
      </w:r>
      <w:r w:rsidRPr="004D3DC6">
        <w:rPr>
          <w:rFonts w:ascii="Verdana" w:hAnsi="Verdana"/>
          <w:sz w:val="18"/>
          <w:szCs w:val="18"/>
        </w:rPr>
        <w:t xml:space="preserve"> into the following classification:</w:t>
      </w:r>
    </w:p>
    <w:p w:rsidR="00DF1A27" w:rsidRPr="004D3DC6" w:rsidRDefault="00DF1A27" w:rsidP="0097447A">
      <w:pPr>
        <w:numPr>
          <w:ilvl w:val="1"/>
          <w:numId w:val="1"/>
        </w:numPr>
        <w:spacing w:after="0" w:line="276" w:lineRule="auto"/>
        <w:ind w:right="50"/>
        <w:contextualSpacing/>
        <w:jc w:val="both"/>
        <w:rPr>
          <w:rFonts w:ascii="Verdana" w:hAnsi="Verdana"/>
          <w:sz w:val="18"/>
          <w:szCs w:val="18"/>
        </w:rPr>
      </w:pPr>
      <w:r w:rsidRPr="004D3DC6">
        <w:rPr>
          <w:rFonts w:ascii="Verdana" w:hAnsi="Verdana"/>
          <w:sz w:val="18"/>
          <w:szCs w:val="18"/>
        </w:rPr>
        <w:t>Do nothing</w:t>
      </w:r>
    </w:p>
    <w:p w:rsidR="00DF1A27" w:rsidRPr="004D3DC6" w:rsidRDefault="00DF1A27" w:rsidP="0097447A">
      <w:pPr>
        <w:numPr>
          <w:ilvl w:val="1"/>
          <w:numId w:val="1"/>
        </w:numPr>
        <w:spacing w:after="0" w:line="276" w:lineRule="auto"/>
        <w:ind w:right="50"/>
        <w:contextualSpacing/>
        <w:jc w:val="both"/>
        <w:rPr>
          <w:rFonts w:ascii="Verdana" w:hAnsi="Verdana"/>
          <w:sz w:val="18"/>
          <w:szCs w:val="18"/>
        </w:rPr>
      </w:pPr>
      <w:r w:rsidRPr="004D3DC6">
        <w:rPr>
          <w:rFonts w:ascii="Verdana" w:hAnsi="Verdana"/>
          <w:sz w:val="18"/>
          <w:szCs w:val="18"/>
        </w:rPr>
        <w:t>Hard legally binding rules</w:t>
      </w:r>
    </w:p>
    <w:p w:rsidR="00DF1A27" w:rsidRPr="004D3DC6" w:rsidRDefault="00DF1A27" w:rsidP="0097447A">
      <w:pPr>
        <w:numPr>
          <w:ilvl w:val="1"/>
          <w:numId w:val="1"/>
        </w:numPr>
        <w:spacing w:after="0" w:line="276" w:lineRule="auto"/>
        <w:ind w:right="50"/>
        <w:contextualSpacing/>
        <w:jc w:val="both"/>
        <w:rPr>
          <w:rFonts w:ascii="Verdana" w:hAnsi="Verdana"/>
          <w:sz w:val="18"/>
          <w:szCs w:val="18"/>
        </w:rPr>
      </w:pPr>
      <w:r w:rsidRPr="004D3DC6">
        <w:rPr>
          <w:rFonts w:ascii="Verdana" w:hAnsi="Verdana"/>
          <w:sz w:val="18"/>
          <w:szCs w:val="18"/>
        </w:rPr>
        <w:t>Soft regulation</w:t>
      </w:r>
    </w:p>
    <w:p w:rsidR="00DF1A27" w:rsidRPr="004D3DC6" w:rsidRDefault="00DF1A27" w:rsidP="0097447A">
      <w:pPr>
        <w:numPr>
          <w:ilvl w:val="1"/>
          <w:numId w:val="1"/>
        </w:numPr>
        <w:spacing w:after="0" w:line="276" w:lineRule="auto"/>
        <w:ind w:right="50"/>
        <w:contextualSpacing/>
        <w:jc w:val="both"/>
        <w:rPr>
          <w:rFonts w:ascii="Verdana" w:hAnsi="Verdana"/>
          <w:sz w:val="18"/>
          <w:szCs w:val="18"/>
        </w:rPr>
      </w:pPr>
      <w:r w:rsidRPr="004D3DC6">
        <w:rPr>
          <w:rFonts w:ascii="Verdana" w:hAnsi="Verdana"/>
          <w:sz w:val="18"/>
          <w:szCs w:val="18"/>
        </w:rPr>
        <w:t>Education and information</w:t>
      </w:r>
    </w:p>
    <w:p w:rsidR="00DF1A27" w:rsidRPr="004D3DC6" w:rsidRDefault="00DF1A27" w:rsidP="0097447A">
      <w:pPr>
        <w:numPr>
          <w:ilvl w:val="1"/>
          <w:numId w:val="1"/>
        </w:numPr>
        <w:spacing w:after="0" w:line="276" w:lineRule="auto"/>
        <w:ind w:right="50"/>
        <w:contextualSpacing/>
        <w:jc w:val="both"/>
        <w:rPr>
          <w:rFonts w:ascii="Verdana" w:hAnsi="Verdana"/>
          <w:sz w:val="18"/>
          <w:szCs w:val="18"/>
        </w:rPr>
      </w:pPr>
      <w:r w:rsidRPr="004D3DC6">
        <w:rPr>
          <w:rFonts w:ascii="Verdana" w:hAnsi="Verdana"/>
          <w:sz w:val="18"/>
          <w:szCs w:val="18"/>
        </w:rPr>
        <w:t>Economic instruments</w:t>
      </w:r>
    </w:p>
    <w:p w:rsidR="00DF1A27" w:rsidRPr="004D3DC6" w:rsidRDefault="00DF1A27" w:rsidP="0097447A">
      <w:pPr>
        <w:spacing w:after="0" w:line="276" w:lineRule="auto"/>
        <w:ind w:left="1440" w:right="50"/>
        <w:contextualSpacing/>
        <w:jc w:val="both"/>
        <w:rPr>
          <w:rFonts w:ascii="Verdana" w:hAnsi="Verdana"/>
          <w:sz w:val="18"/>
          <w:szCs w:val="18"/>
        </w:rPr>
      </w:pPr>
    </w:p>
    <w:p w:rsidR="00DF1A27" w:rsidRPr="004D3DC6" w:rsidRDefault="00DF1A27" w:rsidP="0097447A">
      <w:pPr>
        <w:numPr>
          <w:ilvl w:val="0"/>
          <w:numId w:val="1"/>
        </w:numPr>
        <w:spacing w:after="0" w:line="276" w:lineRule="auto"/>
        <w:ind w:right="50"/>
        <w:contextualSpacing/>
        <w:jc w:val="both"/>
        <w:rPr>
          <w:rFonts w:ascii="Verdana" w:hAnsi="Verdana"/>
          <w:sz w:val="18"/>
          <w:szCs w:val="18"/>
        </w:rPr>
      </w:pPr>
      <w:r w:rsidRPr="004D3DC6">
        <w:rPr>
          <w:rFonts w:ascii="Verdana" w:hAnsi="Verdana"/>
          <w:sz w:val="18"/>
          <w:szCs w:val="18"/>
        </w:rPr>
        <w:t xml:space="preserve">Identify the potential impacts for each </w:t>
      </w:r>
      <w:r w:rsidR="005104AE">
        <w:rPr>
          <w:rFonts w:ascii="Verdana" w:hAnsi="Verdana"/>
          <w:sz w:val="18"/>
          <w:szCs w:val="18"/>
        </w:rPr>
        <w:t xml:space="preserve">of the 15 </w:t>
      </w:r>
      <w:r w:rsidRPr="004D3DC6">
        <w:rPr>
          <w:rFonts w:ascii="Verdana" w:hAnsi="Verdana"/>
          <w:sz w:val="18"/>
          <w:szCs w:val="18"/>
        </w:rPr>
        <w:t>policy instrument</w:t>
      </w:r>
      <w:r w:rsidR="005104AE">
        <w:rPr>
          <w:rFonts w:ascii="Verdana" w:hAnsi="Verdana"/>
          <w:sz w:val="18"/>
          <w:szCs w:val="18"/>
        </w:rPr>
        <w:t>s</w:t>
      </w:r>
      <w:r w:rsidR="009A5314">
        <w:rPr>
          <w:rFonts w:ascii="Verdana" w:hAnsi="Verdana"/>
          <w:sz w:val="18"/>
          <w:szCs w:val="18"/>
        </w:rPr>
        <w:t xml:space="preserve"> in Part 3</w:t>
      </w:r>
    </w:p>
    <w:p w:rsidR="00DF1A27" w:rsidRPr="004D3DC6" w:rsidRDefault="00DF1A27" w:rsidP="0097447A">
      <w:pPr>
        <w:spacing w:after="0" w:line="276" w:lineRule="auto"/>
        <w:ind w:left="720" w:right="50"/>
        <w:contextualSpacing/>
        <w:jc w:val="both"/>
        <w:rPr>
          <w:rFonts w:ascii="Verdana" w:hAnsi="Verdana"/>
          <w:sz w:val="18"/>
          <w:szCs w:val="18"/>
        </w:rPr>
      </w:pPr>
    </w:p>
    <w:p w:rsidR="00385B66" w:rsidRPr="004D3DC6" w:rsidRDefault="00385B66" w:rsidP="0097447A">
      <w:pPr>
        <w:numPr>
          <w:ilvl w:val="0"/>
          <w:numId w:val="1"/>
        </w:numPr>
        <w:spacing w:after="0" w:line="276" w:lineRule="auto"/>
        <w:ind w:right="50"/>
        <w:contextualSpacing/>
        <w:jc w:val="both"/>
        <w:rPr>
          <w:rFonts w:ascii="Verdana" w:hAnsi="Verdana"/>
          <w:sz w:val="18"/>
          <w:szCs w:val="18"/>
        </w:rPr>
      </w:pPr>
      <w:r w:rsidRPr="004D3DC6">
        <w:rPr>
          <w:rFonts w:ascii="Verdana" w:hAnsi="Verdana"/>
          <w:sz w:val="18"/>
          <w:szCs w:val="18"/>
        </w:rPr>
        <w:t>Calculate the costs and benefits for option 1 and allocate them to the correct cost/benefit types</w:t>
      </w:r>
      <w:r w:rsidR="009A5314">
        <w:rPr>
          <w:rFonts w:ascii="Verdana" w:hAnsi="Verdana"/>
          <w:sz w:val="18"/>
          <w:szCs w:val="18"/>
        </w:rPr>
        <w:t xml:space="preserve"> in Part 4</w:t>
      </w:r>
      <w:r w:rsidRPr="004D3DC6">
        <w:rPr>
          <w:rFonts w:ascii="Verdana" w:hAnsi="Verdana"/>
          <w:sz w:val="18"/>
          <w:szCs w:val="18"/>
        </w:rPr>
        <w:t xml:space="preserve">  </w:t>
      </w:r>
    </w:p>
    <w:p w:rsidR="00385B66" w:rsidRPr="004D3DC6" w:rsidRDefault="00385B66" w:rsidP="0097447A">
      <w:pPr>
        <w:spacing w:after="0" w:line="276" w:lineRule="auto"/>
        <w:ind w:right="50"/>
        <w:contextualSpacing/>
        <w:jc w:val="both"/>
        <w:rPr>
          <w:rFonts w:ascii="Verdana" w:hAnsi="Verdana"/>
          <w:sz w:val="18"/>
          <w:szCs w:val="18"/>
        </w:rPr>
      </w:pPr>
    </w:p>
    <w:p w:rsidR="00385B66" w:rsidRPr="004D3DC6" w:rsidRDefault="00385B66" w:rsidP="0097447A">
      <w:pPr>
        <w:numPr>
          <w:ilvl w:val="0"/>
          <w:numId w:val="1"/>
        </w:numPr>
        <w:spacing w:after="0" w:line="276" w:lineRule="auto"/>
        <w:ind w:right="50"/>
        <w:contextualSpacing/>
        <w:jc w:val="both"/>
        <w:rPr>
          <w:rFonts w:ascii="Verdana" w:hAnsi="Verdana"/>
          <w:sz w:val="18"/>
          <w:szCs w:val="18"/>
        </w:rPr>
      </w:pPr>
      <w:r w:rsidRPr="004D3DC6">
        <w:rPr>
          <w:rFonts w:ascii="Verdana" w:hAnsi="Verdana"/>
          <w:sz w:val="18"/>
          <w:szCs w:val="18"/>
        </w:rPr>
        <w:t>Think about which other measures could reduce late payments in order to strengthen option 1</w:t>
      </w:r>
    </w:p>
    <w:p w:rsidR="00385B66" w:rsidRPr="004D3DC6" w:rsidRDefault="00385B66" w:rsidP="0097447A">
      <w:pPr>
        <w:spacing w:after="0" w:line="276" w:lineRule="auto"/>
        <w:ind w:left="720" w:right="50"/>
        <w:contextualSpacing/>
        <w:jc w:val="both"/>
        <w:rPr>
          <w:rFonts w:ascii="Verdana" w:hAnsi="Verdana"/>
          <w:sz w:val="18"/>
          <w:szCs w:val="18"/>
        </w:rPr>
      </w:pPr>
    </w:p>
    <w:p w:rsidR="00DF1A27" w:rsidRPr="004D3DC6" w:rsidRDefault="00DF1A27" w:rsidP="0097447A">
      <w:pPr>
        <w:numPr>
          <w:ilvl w:val="0"/>
          <w:numId w:val="1"/>
        </w:numPr>
        <w:spacing w:after="0" w:line="276" w:lineRule="auto"/>
        <w:ind w:right="50"/>
        <w:contextualSpacing/>
        <w:jc w:val="both"/>
        <w:rPr>
          <w:rFonts w:ascii="Verdana" w:hAnsi="Verdana"/>
          <w:sz w:val="18"/>
          <w:szCs w:val="18"/>
        </w:rPr>
      </w:pPr>
      <w:r w:rsidRPr="004D3DC6">
        <w:rPr>
          <w:rFonts w:ascii="Verdana" w:hAnsi="Verdana"/>
          <w:sz w:val="18"/>
          <w:szCs w:val="18"/>
        </w:rPr>
        <w:t>Carry out a multi-criteria analysis</w:t>
      </w:r>
      <w:r w:rsidR="00D84DC9">
        <w:rPr>
          <w:rFonts w:ascii="Verdana" w:hAnsi="Verdana"/>
          <w:sz w:val="18"/>
          <w:szCs w:val="18"/>
        </w:rPr>
        <w:t xml:space="preserve"> (MCA)</w:t>
      </w:r>
      <w:r w:rsidR="009A5314">
        <w:rPr>
          <w:rFonts w:ascii="Verdana" w:hAnsi="Verdana"/>
          <w:sz w:val="18"/>
          <w:szCs w:val="18"/>
        </w:rPr>
        <w:t xml:space="preserve"> in Part 4</w:t>
      </w:r>
      <w:r w:rsidRPr="004D3DC6">
        <w:rPr>
          <w:rFonts w:ascii="Verdana" w:hAnsi="Verdana"/>
          <w:sz w:val="18"/>
          <w:szCs w:val="18"/>
        </w:rPr>
        <w:t>:</w:t>
      </w:r>
    </w:p>
    <w:p w:rsidR="00DF1A27" w:rsidRPr="004D3DC6" w:rsidRDefault="00DF1A27" w:rsidP="0097447A">
      <w:pPr>
        <w:numPr>
          <w:ilvl w:val="1"/>
          <w:numId w:val="1"/>
        </w:numPr>
        <w:spacing w:after="0" w:line="276" w:lineRule="auto"/>
        <w:ind w:right="50"/>
        <w:contextualSpacing/>
        <w:jc w:val="both"/>
        <w:rPr>
          <w:rFonts w:ascii="Verdana" w:hAnsi="Verdana"/>
          <w:sz w:val="18"/>
          <w:szCs w:val="18"/>
        </w:rPr>
      </w:pPr>
      <w:r w:rsidRPr="004D3DC6">
        <w:rPr>
          <w:rFonts w:ascii="Verdana" w:hAnsi="Verdana"/>
          <w:sz w:val="18"/>
          <w:szCs w:val="18"/>
        </w:rPr>
        <w:t xml:space="preserve">Step 1: determine costs and benefits </w:t>
      </w:r>
      <w:r w:rsidR="00385B66" w:rsidRPr="004D3DC6">
        <w:rPr>
          <w:rFonts w:ascii="Verdana" w:hAnsi="Verdana"/>
          <w:sz w:val="18"/>
          <w:szCs w:val="18"/>
        </w:rPr>
        <w:t>(see 3.)</w:t>
      </w:r>
    </w:p>
    <w:p w:rsidR="00DF1A27" w:rsidRPr="004D3DC6" w:rsidRDefault="00DF1A27" w:rsidP="0097447A">
      <w:pPr>
        <w:numPr>
          <w:ilvl w:val="1"/>
          <w:numId w:val="1"/>
        </w:numPr>
        <w:spacing w:after="0" w:line="276" w:lineRule="auto"/>
        <w:ind w:right="50"/>
        <w:contextualSpacing/>
        <w:jc w:val="both"/>
        <w:rPr>
          <w:rFonts w:ascii="Verdana" w:hAnsi="Verdana"/>
          <w:sz w:val="18"/>
          <w:szCs w:val="18"/>
        </w:rPr>
      </w:pPr>
      <w:r w:rsidRPr="004D3DC6">
        <w:rPr>
          <w:rFonts w:ascii="Verdana" w:hAnsi="Verdana"/>
          <w:sz w:val="18"/>
          <w:szCs w:val="18"/>
        </w:rPr>
        <w:t>Step 2: standardization row maximum</w:t>
      </w:r>
    </w:p>
    <w:p w:rsidR="00DF1A27" w:rsidRPr="004D3DC6" w:rsidRDefault="00DF1A27" w:rsidP="0097447A">
      <w:pPr>
        <w:numPr>
          <w:ilvl w:val="1"/>
          <w:numId w:val="1"/>
        </w:numPr>
        <w:spacing w:after="0" w:line="276" w:lineRule="auto"/>
        <w:ind w:right="50"/>
        <w:contextualSpacing/>
        <w:jc w:val="both"/>
        <w:rPr>
          <w:rFonts w:ascii="Verdana" w:hAnsi="Verdana"/>
          <w:sz w:val="18"/>
          <w:szCs w:val="18"/>
        </w:rPr>
      </w:pPr>
      <w:r w:rsidRPr="004D3DC6">
        <w:rPr>
          <w:rFonts w:ascii="Verdana" w:hAnsi="Verdana"/>
          <w:sz w:val="18"/>
          <w:szCs w:val="18"/>
        </w:rPr>
        <w:t>Step 3: multiply and sum up</w:t>
      </w:r>
    </w:p>
    <w:p w:rsidR="00DF1A27" w:rsidRPr="004D3DC6" w:rsidRDefault="00DF1A27" w:rsidP="0097447A">
      <w:pPr>
        <w:numPr>
          <w:ilvl w:val="1"/>
          <w:numId w:val="1"/>
        </w:numPr>
        <w:spacing w:after="0" w:line="276" w:lineRule="auto"/>
        <w:ind w:right="50"/>
        <w:contextualSpacing/>
        <w:jc w:val="both"/>
        <w:rPr>
          <w:rFonts w:ascii="Verdana" w:hAnsi="Verdana"/>
          <w:sz w:val="18"/>
          <w:szCs w:val="18"/>
        </w:rPr>
      </w:pPr>
      <w:r w:rsidRPr="004D3DC6">
        <w:rPr>
          <w:rFonts w:ascii="Verdana" w:hAnsi="Verdana"/>
          <w:sz w:val="18"/>
          <w:szCs w:val="18"/>
        </w:rPr>
        <w:t>Step 4: determine preference rule</w:t>
      </w:r>
    </w:p>
    <w:p w:rsidR="00F53B84" w:rsidRPr="004D3DC6" w:rsidRDefault="00F53B84" w:rsidP="0097447A">
      <w:pPr>
        <w:spacing w:after="0" w:line="276" w:lineRule="auto"/>
        <w:ind w:left="1440" w:right="50"/>
        <w:contextualSpacing/>
        <w:jc w:val="both"/>
        <w:rPr>
          <w:rFonts w:ascii="Verdana" w:hAnsi="Verdana"/>
          <w:sz w:val="18"/>
          <w:szCs w:val="18"/>
        </w:rPr>
      </w:pPr>
    </w:p>
    <w:p w:rsidR="00F53B84" w:rsidRDefault="00F53B84" w:rsidP="0097447A">
      <w:pPr>
        <w:numPr>
          <w:ilvl w:val="0"/>
          <w:numId w:val="1"/>
        </w:numPr>
        <w:spacing w:after="0" w:line="276" w:lineRule="auto"/>
        <w:ind w:right="50"/>
        <w:contextualSpacing/>
        <w:jc w:val="both"/>
        <w:rPr>
          <w:rFonts w:ascii="Verdana" w:hAnsi="Verdana"/>
          <w:sz w:val="18"/>
          <w:szCs w:val="18"/>
        </w:rPr>
      </w:pPr>
      <w:r w:rsidRPr="004D3DC6">
        <w:rPr>
          <w:rFonts w:ascii="Verdana" w:hAnsi="Verdana"/>
          <w:sz w:val="18"/>
          <w:szCs w:val="18"/>
        </w:rPr>
        <w:t>What happens if the weights</w:t>
      </w:r>
      <w:r w:rsidR="00FE4D00" w:rsidRPr="004D3DC6">
        <w:rPr>
          <w:rFonts w:ascii="Verdana" w:hAnsi="Verdana"/>
          <w:sz w:val="18"/>
          <w:szCs w:val="18"/>
        </w:rPr>
        <w:t>/inputs</w:t>
      </w:r>
      <w:r w:rsidRPr="004D3DC6">
        <w:rPr>
          <w:rFonts w:ascii="Verdana" w:hAnsi="Verdana"/>
          <w:sz w:val="18"/>
          <w:szCs w:val="18"/>
        </w:rPr>
        <w:t xml:space="preserve"> of the impacts in the multi-criteria analysis are modified?</w:t>
      </w:r>
    </w:p>
    <w:p w:rsidR="00385B66" w:rsidRPr="004D3DC6" w:rsidRDefault="00385B66" w:rsidP="0097447A">
      <w:pPr>
        <w:spacing w:after="0" w:line="276" w:lineRule="auto"/>
        <w:ind w:left="1440" w:right="50"/>
        <w:contextualSpacing/>
        <w:rPr>
          <w:rFonts w:ascii="Verdana" w:hAnsi="Verdana"/>
          <w:sz w:val="18"/>
          <w:szCs w:val="18"/>
        </w:rPr>
      </w:pPr>
    </w:p>
    <w:p w:rsidR="00DF1A27" w:rsidRPr="004D3DC6" w:rsidRDefault="00DF1A27" w:rsidP="0097447A">
      <w:pPr>
        <w:spacing w:after="0" w:line="276" w:lineRule="auto"/>
        <w:ind w:left="1440" w:right="50"/>
        <w:contextualSpacing/>
        <w:rPr>
          <w:rFonts w:ascii="Verdana" w:hAnsi="Verdana"/>
          <w:sz w:val="18"/>
          <w:szCs w:val="18"/>
        </w:rPr>
      </w:pPr>
    </w:p>
    <w:p w:rsidR="00385B66" w:rsidRPr="004D3DC6" w:rsidRDefault="00D616F9" w:rsidP="0097447A">
      <w:pPr>
        <w:spacing w:after="0" w:line="276" w:lineRule="auto"/>
        <w:ind w:left="360" w:right="50"/>
        <w:contextualSpacing/>
        <w:jc w:val="center"/>
        <w:rPr>
          <w:rFonts w:ascii="Verdana" w:hAnsi="Verdana"/>
          <w:b/>
          <w:sz w:val="18"/>
          <w:szCs w:val="18"/>
        </w:rPr>
      </w:pPr>
      <w:r>
        <w:rPr>
          <w:noProof/>
        </w:rPr>
        <w:drawing>
          <wp:inline distT="0" distB="0" distL="0" distR="0" wp14:anchorId="5C8A0D76" wp14:editId="37335F61">
            <wp:extent cx="3352800" cy="2235199"/>
            <wp:effectExtent l="0" t="0" r="0" b="0"/>
            <wp:docPr id="7" name="Afbeelding 7" descr="Afbeeldingsresultaat voor late pay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late payment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68963" cy="2245974"/>
                    </a:xfrm>
                    <a:prstGeom prst="rect">
                      <a:avLst/>
                    </a:prstGeom>
                    <a:noFill/>
                    <a:ln>
                      <a:noFill/>
                    </a:ln>
                  </pic:spPr>
                </pic:pic>
              </a:graphicData>
            </a:graphic>
          </wp:inline>
        </w:drawing>
      </w:r>
      <w:r w:rsidR="002063E2" w:rsidRPr="004D3DC6">
        <w:rPr>
          <w:rFonts w:ascii="Verdana" w:hAnsi="Verdana"/>
          <w:b/>
          <w:i/>
          <w:sz w:val="18"/>
          <w:szCs w:val="18"/>
          <w:u w:val="single"/>
        </w:rPr>
        <w:br w:type="page"/>
      </w:r>
    </w:p>
    <w:p w:rsidR="00BD1A89" w:rsidRDefault="00BD1A89" w:rsidP="0097447A">
      <w:pPr>
        <w:pStyle w:val="Geenafstand"/>
        <w:spacing w:line="276" w:lineRule="auto"/>
        <w:contextualSpacing/>
        <w:rPr>
          <w:rFonts w:ascii="Verdana" w:hAnsi="Verdana"/>
          <w:b/>
          <w:color w:val="4472C4" w:themeColor="accent5"/>
          <w:sz w:val="20"/>
          <w:szCs w:val="18"/>
          <w:lang w:val="en-GB"/>
        </w:rPr>
        <w:sectPr w:rsidR="00BD1A89" w:rsidSect="00DF1A27">
          <w:headerReference w:type="default" r:id="rId9"/>
          <w:footerReference w:type="default" r:id="rId10"/>
          <w:headerReference w:type="first" r:id="rId11"/>
          <w:pgSz w:w="12240" w:h="15840"/>
          <w:pgMar w:top="1417" w:right="1417" w:bottom="1417" w:left="1417" w:header="708" w:footer="708" w:gutter="0"/>
          <w:cols w:space="708"/>
          <w:docGrid w:linePitch="360"/>
        </w:sectPr>
      </w:pPr>
    </w:p>
    <w:p w:rsidR="00385B66" w:rsidRPr="00B12091" w:rsidRDefault="00B12091" w:rsidP="0097447A">
      <w:pPr>
        <w:pStyle w:val="Geenafstand"/>
        <w:spacing w:line="276" w:lineRule="auto"/>
        <w:contextualSpacing/>
        <w:rPr>
          <w:rFonts w:ascii="Verdana" w:hAnsi="Verdana"/>
          <w:b/>
          <w:color w:val="4472C4" w:themeColor="accent5"/>
          <w:sz w:val="20"/>
          <w:szCs w:val="18"/>
          <w:lang w:val="en-GB"/>
        </w:rPr>
      </w:pPr>
      <w:r w:rsidRPr="00B12091">
        <w:rPr>
          <w:rFonts w:ascii="Verdana" w:hAnsi="Verdana"/>
          <w:b/>
          <w:color w:val="4472C4" w:themeColor="accent5"/>
          <w:sz w:val="20"/>
          <w:szCs w:val="18"/>
          <w:lang w:val="en-GB"/>
        </w:rPr>
        <w:lastRenderedPageBreak/>
        <w:t>Part</w:t>
      </w:r>
      <w:r>
        <w:rPr>
          <w:rFonts w:ascii="Verdana" w:hAnsi="Verdana"/>
          <w:b/>
          <w:color w:val="4472C4" w:themeColor="accent5"/>
          <w:sz w:val="20"/>
          <w:szCs w:val="18"/>
          <w:lang w:val="en-GB"/>
        </w:rPr>
        <w:t xml:space="preserve"> 2</w:t>
      </w:r>
      <w:r w:rsidRPr="00B12091">
        <w:rPr>
          <w:rFonts w:ascii="Verdana" w:hAnsi="Verdana"/>
          <w:b/>
          <w:color w:val="4472C4" w:themeColor="accent5"/>
          <w:sz w:val="20"/>
          <w:szCs w:val="18"/>
          <w:lang w:val="en-GB"/>
        </w:rPr>
        <w:t>:</w:t>
      </w:r>
      <w:r>
        <w:rPr>
          <w:rFonts w:ascii="Verdana" w:hAnsi="Verdana"/>
          <w:b/>
          <w:color w:val="4472C4" w:themeColor="accent5"/>
          <w:sz w:val="20"/>
          <w:szCs w:val="18"/>
          <w:lang w:val="en-GB"/>
        </w:rPr>
        <w:t xml:space="preserve"> </w:t>
      </w:r>
      <w:r w:rsidR="00385B66" w:rsidRPr="00B12091">
        <w:rPr>
          <w:rFonts w:ascii="Verdana" w:hAnsi="Verdana"/>
          <w:b/>
          <w:color w:val="4472C4" w:themeColor="accent5"/>
          <w:sz w:val="20"/>
          <w:szCs w:val="18"/>
          <w:lang w:val="en-GB"/>
        </w:rPr>
        <w:t>M</w:t>
      </w:r>
      <w:r>
        <w:rPr>
          <w:rFonts w:ascii="Verdana" w:hAnsi="Verdana"/>
          <w:b/>
          <w:color w:val="4472C4" w:themeColor="accent5"/>
          <w:sz w:val="20"/>
          <w:szCs w:val="18"/>
          <w:lang w:val="en-GB"/>
        </w:rPr>
        <w:t>easures to reduce late payments</w:t>
      </w:r>
    </w:p>
    <w:p w:rsidR="00385B66" w:rsidRPr="004D3DC6" w:rsidRDefault="00385B66" w:rsidP="0097447A">
      <w:pPr>
        <w:spacing w:after="0" w:line="276" w:lineRule="auto"/>
        <w:ind w:left="720" w:right="50"/>
        <w:contextualSpacing/>
        <w:jc w:val="both"/>
        <w:rPr>
          <w:rFonts w:ascii="Verdana" w:hAnsi="Verdana"/>
          <w:b/>
          <w:sz w:val="18"/>
          <w:szCs w:val="18"/>
        </w:rPr>
      </w:pPr>
    </w:p>
    <w:p w:rsidR="002063E2" w:rsidRDefault="002063E2" w:rsidP="0097447A">
      <w:pPr>
        <w:numPr>
          <w:ilvl w:val="0"/>
          <w:numId w:val="7"/>
        </w:numPr>
        <w:spacing w:after="0" w:line="276" w:lineRule="auto"/>
        <w:ind w:right="50"/>
        <w:contextualSpacing/>
        <w:jc w:val="both"/>
        <w:rPr>
          <w:rFonts w:ascii="Verdana" w:hAnsi="Verdana"/>
          <w:b/>
          <w:sz w:val="18"/>
          <w:szCs w:val="18"/>
        </w:rPr>
      </w:pPr>
      <w:r w:rsidRPr="004D3DC6">
        <w:rPr>
          <w:rFonts w:ascii="Verdana" w:hAnsi="Verdana"/>
          <w:b/>
          <w:sz w:val="18"/>
          <w:szCs w:val="18"/>
        </w:rPr>
        <w:t>Stricter payment terms</w:t>
      </w:r>
      <w:r w:rsidR="00DF1A27" w:rsidRPr="004D3DC6">
        <w:rPr>
          <w:rFonts w:ascii="Verdana" w:hAnsi="Verdana"/>
          <w:b/>
          <w:sz w:val="18"/>
          <w:szCs w:val="18"/>
        </w:rPr>
        <w:t xml:space="preserve"> (b)</w:t>
      </w:r>
    </w:p>
    <w:p w:rsidR="00EF2C7B" w:rsidRPr="004D3DC6" w:rsidRDefault="00EF2C7B" w:rsidP="00EF2C7B">
      <w:pPr>
        <w:spacing w:after="0" w:line="276" w:lineRule="auto"/>
        <w:ind w:left="720" w:right="50"/>
        <w:contextualSpacing/>
        <w:jc w:val="both"/>
        <w:rPr>
          <w:rFonts w:ascii="Verdana" w:hAnsi="Verdana"/>
          <w:b/>
          <w:sz w:val="18"/>
          <w:szCs w:val="18"/>
        </w:rPr>
      </w:pPr>
    </w:p>
    <w:p w:rsidR="002063E2" w:rsidRPr="004D3DC6" w:rsidRDefault="00836A1E" w:rsidP="0097447A">
      <w:pPr>
        <w:spacing w:after="0" w:line="276" w:lineRule="auto"/>
        <w:ind w:left="720" w:right="50"/>
        <w:contextualSpacing/>
        <w:jc w:val="both"/>
        <w:rPr>
          <w:rFonts w:ascii="Verdana" w:hAnsi="Verdana"/>
          <w:sz w:val="18"/>
          <w:szCs w:val="18"/>
        </w:rPr>
      </w:pPr>
      <w:r w:rsidRPr="004D3DC6">
        <w:rPr>
          <w:rFonts w:ascii="Verdana" w:hAnsi="Verdana"/>
          <w:sz w:val="18"/>
          <w:szCs w:val="18"/>
        </w:rPr>
        <w:t>The introduction of a maximum 60-day payment period in "asymmetrical" transactions between entrepreneurs, i.e. those in which the payer is a large enterprise and its SME contractor. If the parties reserve a deadline of more than 60 days in the contract (e.g. 120 days), this deadline will not apply and a 30-day statutory deadline will take place in its place.</w:t>
      </w:r>
      <w:r w:rsidR="00BD1A89">
        <w:rPr>
          <w:rFonts w:ascii="Verdana" w:hAnsi="Verdana"/>
          <w:sz w:val="18"/>
          <w:szCs w:val="18"/>
        </w:rPr>
        <w:t xml:space="preserve"> </w:t>
      </w:r>
      <w:r w:rsidRPr="004D3DC6">
        <w:rPr>
          <w:rFonts w:ascii="Verdana" w:hAnsi="Verdana"/>
          <w:sz w:val="18"/>
          <w:szCs w:val="18"/>
        </w:rPr>
        <w:t>In turn, in transactions in which the public entity is a debtor (e.g. offices, public universities, police units, army etc.), a maximum 30-day payment period will apply, without the possibility of its extension.</w:t>
      </w:r>
    </w:p>
    <w:p w:rsidR="00836A1E" w:rsidRDefault="00836A1E" w:rsidP="0097447A">
      <w:pPr>
        <w:spacing w:after="0" w:line="276" w:lineRule="auto"/>
        <w:ind w:left="720" w:right="50"/>
        <w:contextualSpacing/>
        <w:jc w:val="both"/>
        <w:rPr>
          <w:rFonts w:ascii="Verdana" w:hAnsi="Verdana"/>
          <w:sz w:val="18"/>
          <w:szCs w:val="18"/>
        </w:rPr>
      </w:pPr>
    </w:p>
    <w:p w:rsidR="00EF2C7B" w:rsidRPr="004D3DC6" w:rsidRDefault="00EF2C7B" w:rsidP="0097447A">
      <w:pPr>
        <w:spacing w:after="0" w:line="276" w:lineRule="auto"/>
        <w:ind w:left="720" w:right="50"/>
        <w:contextualSpacing/>
        <w:jc w:val="both"/>
        <w:rPr>
          <w:rFonts w:ascii="Verdana" w:hAnsi="Verdana"/>
          <w:sz w:val="18"/>
          <w:szCs w:val="18"/>
        </w:rPr>
      </w:pPr>
    </w:p>
    <w:p w:rsidR="002063E2" w:rsidRDefault="002063E2" w:rsidP="0097447A">
      <w:pPr>
        <w:numPr>
          <w:ilvl w:val="0"/>
          <w:numId w:val="7"/>
        </w:numPr>
        <w:spacing w:after="0" w:line="276" w:lineRule="auto"/>
        <w:ind w:right="50"/>
        <w:contextualSpacing/>
        <w:jc w:val="both"/>
        <w:rPr>
          <w:rFonts w:ascii="Verdana" w:hAnsi="Verdana"/>
          <w:b/>
          <w:sz w:val="18"/>
          <w:szCs w:val="18"/>
        </w:rPr>
      </w:pPr>
      <w:r w:rsidRPr="004D3DC6">
        <w:rPr>
          <w:rFonts w:ascii="Verdana" w:hAnsi="Verdana"/>
          <w:b/>
          <w:sz w:val="18"/>
          <w:szCs w:val="18"/>
        </w:rPr>
        <w:t>Transparency of payment practices</w:t>
      </w:r>
      <w:r w:rsidR="00DF1A27" w:rsidRPr="004D3DC6">
        <w:rPr>
          <w:rFonts w:ascii="Verdana" w:hAnsi="Verdana"/>
          <w:b/>
          <w:sz w:val="18"/>
          <w:szCs w:val="18"/>
        </w:rPr>
        <w:t xml:space="preserve"> (b)</w:t>
      </w:r>
    </w:p>
    <w:p w:rsidR="00EF2C7B" w:rsidRPr="004D3DC6" w:rsidRDefault="00EF2C7B" w:rsidP="00EF2C7B">
      <w:pPr>
        <w:spacing w:after="0" w:line="276" w:lineRule="auto"/>
        <w:ind w:left="720" w:right="50"/>
        <w:contextualSpacing/>
        <w:jc w:val="both"/>
        <w:rPr>
          <w:rFonts w:ascii="Verdana" w:hAnsi="Verdana"/>
          <w:b/>
          <w:sz w:val="18"/>
          <w:szCs w:val="18"/>
        </w:rPr>
      </w:pPr>
    </w:p>
    <w:p w:rsidR="002063E2" w:rsidRPr="004D3DC6" w:rsidRDefault="002063E2" w:rsidP="0097447A">
      <w:pPr>
        <w:spacing w:after="0" w:line="276" w:lineRule="auto"/>
        <w:ind w:left="720" w:right="50"/>
        <w:contextualSpacing/>
        <w:jc w:val="both"/>
        <w:rPr>
          <w:rFonts w:ascii="Verdana" w:hAnsi="Verdana"/>
          <w:sz w:val="18"/>
          <w:szCs w:val="18"/>
        </w:rPr>
      </w:pPr>
      <w:r w:rsidRPr="004D3DC6">
        <w:rPr>
          <w:rFonts w:ascii="Verdana" w:hAnsi="Verdana"/>
          <w:sz w:val="18"/>
          <w:szCs w:val="18"/>
        </w:rPr>
        <w:t>Measures for transparency of payment practices include legal obligations to periodically publish information on payment practices of companies in specific government databases and registries.</w:t>
      </w:r>
    </w:p>
    <w:p w:rsidR="002063E2" w:rsidRDefault="002063E2" w:rsidP="0097447A">
      <w:pPr>
        <w:spacing w:after="0" w:line="276" w:lineRule="auto"/>
        <w:ind w:left="720" w:right="50"/>
        <w:contextualSpacing/>
        <w:jc w:val="both"/>
        <w:rPr>
          <w:rFonts w:ascii="Verdana" w:hAnsi="Verdana"/>
          <w:sz w:val="18"/>
          <w:szCs w:val="18"/>
        </w:rPr>
      </w:pPr>
    </w:p>
    <w:p w:rsidR="00EF2C7B" w:rsidRPr="004D3DC6" w:rsidRDefault="00EF2C7B" w:rsidP="0097447A">
      <w:pPr>
        <w:spacing w:after="0" w:line="276" w:lineRule="auto"/>
        <w:ind w:left="720" w:right="50"/>
        <w:contextualSpacing/>
        <w:jc w:val="both"/>
        <w:rPr>
          <w:rFonts w:ascii="Verdana" w:hAnsi="Verdana"/>
          <w:sz w:val="18"/>
          <w:szCs w:val="18"/>
        </w:rPr>
      </w:pPr>
    </w:p>
    <w:p w:rsidR="002063E2" w:rsidRDefault="002063E2" w:rsidP="0097447A">
      <w:pPr>
        <w:numPr>
          <w:ilvl w:val="0"/>
          <w:numId w:val="7"/>
        </w:numPr>
        <w:spacing w:after="0" w:line="276" w:lineRule="auto"/>
        <w:ind w:right="50"/>
        <w:contextualSpacing/>
        <w:jc w:val="both"/>
        <w:rPr>
          <w:rFonts w:ascii="Verdana" w:hAnsi="Verdana"/>
          <w:b/>
          <w:sz w:val="18"/>
          <w:szCs w:val="18"/>
        </w:rPr>
      </w:pPr>
      <w:r w:rsidRPr="004D3DC6">
        <w:rPr>
          <w:rFonts w:ascii="Verdana" w:hAnsi="Verdana"/>
          <w:b/>
          <w:sz w:val="18"/>
          <w:szCs w:val="18"/>
        </w:rPr>
        <w:t>Invoice management measures</w:t>
      </w:r>
      <w:r w:rsidR="00DF1A27" w:rsidRPr="004D3DC6">
        <w:rPr>
          <w:rFonts w:ascii="Verdana" w:hAnsi="Verdana"/>
          <w:b/>
          <w:sz w:val="18"/>
          <w:szCs w:val="18"/>
        </w:rPr>
        <w:t xml:space="preserve"> (</w:t>
      </w:r>
      <w:r w:rsidR="00836A1E" w:rsidRPr="004D3DC6">
        <w:rPr>
          <w:rFonts w:ascii="Verdana" w:hAnsi="Verdana"/>
          <w:b/>
          <w:sz w:val="18"/>
          <w:szCs w:val="18"/>
        </w:rPr>
        <w:t>c</w:t>
      </w:r>
      <w:r w:rsidR="00DF1A27" w:rsidRPr="004D3DC6">
        <w:rPr>
          <w:rFonts w:ascii="Verdana" w:hAnsi="Verdana"/>
          <w:b/>
          <w:sz w:val="18"/>
          <w:szCs w:val="18"/>
        </w:rPr>
        <w:t>)</w:t>
      </w:r>
    </w:p>
    <w:p w:rsidR="00EF2C7B" w:rsidRPr="004D3DC6" w:rsidRDefault="00EF2C7B" w:rsidP="00EF2C7B">
      <w:pPr>
        <w:spacing w:after="0" w:line="276" w:lineRule="auto"/>
        <w:ind w:left="720" w:right="50"/>
        <w:contextualSpacing/>
        <w:jc w:val="both"/>
        <w:rPr>
          <w:rFonts w:ascii="Verdana" w:hAnsi="Verdana"/>
          <w:b/>
          <w:sz w:val="18"/>
          <w:szCs w:val="18"/>
        </w:rPr>
      </w:pPr>
    </w:p>
    <w:p w:rsidR="002063E2" w:rsidRPr="004D3DC6" w:rsidRDefault="00BD1A89" w:rsidP="0097447A">
      <w:pPr>
        <w:spacing w:after="0" w:line="276" w:lineRule="auto"/>
        <w:ind w:left="720" w:right="50"/>
        <w:contextualSpacing/>
        <w:jc w:val="both"/>
        <w:rPr>
          <w:rFonts w:ascii="Verdana" w:hAnsi="Verdana"/>
          <w:sz w:val="18"/>
          <w:szCs w:val="18"/>
        </w:rPr>
      </w:pPr>
      <w:r>
        <w:rPr>
          <w:noProof/>
        </w:rPr>
        <w:drawing>
          <wp:anchor distT="0" distB="0" distL="114300" distR="114300" simplePos="0" relativeHeight="251664384" behindDoc="0" locked="0" layoutInCell="1" allowOverlap="1">
            <wp:simplePos x="0" y="0"/>
            <wp:positionH relativeFrom="column">
              <wp:posOffset>3576320</wp:posOffset>
            </wp:positionH>
            <wp:positionV relativeFrom="paragraph">
              <wp:posOffset>325755</wp:posOffset>
            </wp:positionV>
            <wp:extent cx="2351405" cy="1494790"/>
            <wp:effectExtent l="0" t="0" r="0" b="0"/>
            <wp:wrapSquare wrapText="bothSides"/>
            <wp:docPr id="10" name="Afbeelding 10" descr="Afbeeldingsresultaat voor e-invoic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e-invoicin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25043" t="3202" r="4445" b="6850"/>
                    <a:stretch/>
                  </pic:blipFill>
                  <pic:spPr bwMode="auto">
                    <a:xfrm>
                      <a:off x="0" y="0"/>
                      <a:ext cx="2351405" cy="14947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063E2" w:rsidRPr="004D3DC6">
        <w:rPr>
          <w:rFonts w:ascii="Verdana" w:hAnsi="Verdana"/>
          <w:sz w:val="18"/>
          <w:szCs w:val="18"/>
        </w:rPr>
        <w:t>Electronic invoicing (e-invoicing) is a form of electronic billing, which requires software. E-invoicing methods are used by trading partners, such as customers and their suppliers, to present and monitor transactional documents between one another and ensure the terms of their trading agreements are being met. The main responsibility of the accounts payable department is to ensure all outstanding invoices from its suppliers are approved, processed, and paid. Processing an invoice includes recording important data from the invoice and feeding it into the company’s financial or bookkeeping systems. E-invoicing should facilitate the whole payment process.</w:t>
      </w:r>
    </w:p>
    <w:p w:rsidR="002063E2" w:rsidRDefault="002063E2" w:rsidP="0097447A">
      <w:pPr>
        <w:spacing w:after="0" w:line="276" w:lineRule="auto"/>
        <w:ind w:right="50"/>
        <w:contextualSpacing/>
        <w:jc w:val="both"/>
        <w:rPr>
          <w:rFonts w:ascii="Verdana" w:hAnsi="Verdana"/>
          <w:sz w:val="18"/>
          <w:szCs w:val="18"/>
        </w:rPr>
      </w:pPr>
    </w:p>
    <w:p w:rsidR="00EF2C7B" w:rsidRPr="004D3DC6" w:rsidRDefault="00EF2C7B" w:rsidP="0097447A">
      <w:pPr>
        <w:spacing w:after="0" w:line="276" w:lineRule="auto"/>
        <w:ind w:right="50"/>
        <w:contextualSpacing/>
        <w:jc w:val="both"/>
        <w:rPr>
          <w:rFonts w:ascii="Verdana" w:hAnsi="Verdana"/>
          <w:sz w:val="18"/>
          <w:szCs w:val="18"/>
        </w:rPr>
      </w:pPr>
    </w:p>
    <w:p w:rsidR="002063E2" w:rsidRDefault="002063E2" w:rsidP="0097447A">
      <w:pPr>
        <w:numPr>
          <w:ilvl w:val="0"/>
          <w:numId w:val="7"/>
        </w:numPr>
        <w:spacing w:after="0" w:line="276" w:lineRule="auto"/>
        <w:ind w:right="50"/>
        <w:contextualSpacing/>
        <w:jc w:val="both"/>
        <w:rPr>
          <w:rFonts w:ascii="Verdana" w:hAnsi="Verdana"/>
          <w:b/>
          <w:sz w:val="18"/>
          <w:szCs w:val="18"/>
        </w:rPr>
      </w:pPr>
      <w:r w:rsidRPr="004D3DC6">
        <w:rPr>
          <w:rFonts w:ascii="Verdana" w:hAnsi="Verdana"/>
          <w:b/>
          <w:sz w:val="18"/>
          <w:szCs w:val="18"/>
        </w:rPr>
        <w:t>Alternative Dispute Resolution System</w:t>
      </w:r>
      <w:r w:rsidR="00DF1A27" w:rsidRPr="004D3DC6">
        <w:rPr>
          <w:rFonts w:ascii="Verdana" w:hAnsi="Verdana"/>
          <w:b/>
          <w:sz w:val="18"/>
          <w:szCs w:val="18"/>
        </w:rPr>
        <w:t xml:space="preserve"> (c)</w:t>
      </w:r>
    </w:p>
    <w:p w:rsidR="00EF2C7B" w:rsidRPr="004D3DC6" w:rsidRDefault="00EF2C7B" w:rsidP="00EF2C7B">
      <w:pPr>
        <w:spacing w:after="0" w:line="276" w:lineRule="auto"/>
        <w:ind w:left="720" w:right="50"/>
        <w:contextualSpacing/>
        <w:jc w:val="both"/>
        <w:rPr>
          <w:rFonts w:ascii="Verdana" w:hAnsi="Verdana"/>
          <w:b/>
          <w:sz w:val="18"/>
          <w:szCs w:val="18"/>
        </w:rPr>
      </w:pPr>
    </w:p>
    <w:p w:rsidR="002063E2" w:rsidRPr="004D3DC6" w:rsidRDefault="002063E2" w:rsidP="0097447A">
      <w:pPr>
        <w:spacing w:after="0" w:line="276" w:lineRule="auto"/>
        <w:ind w:left="720" w:right="50"/>
        <w:contextualSpacing/>
        <w:jc w:val="both"/>
        <w:rPr>
          <w:rFonts w:ascii="Verdana" w:hAnsi="Verdana"/>
          <w:sz w:val="18"/>
          <w:szCs w:val="18"/>
        </w:rPr>
      </w:pPr>
      <w:r w:rsidRPr="004D3DC6">
        <w:rPr>
          <w:rFonts w:ascii="Verdana" w:hAnsi="Verdana"/>
          <w:sz w:val="18"/>
          <w:szCs w:val="18"/>
        </w:rPr>
        <w:t>Negotiated settlements, arbitration and Alternative Dispute Resolution (such as mediation or conciliation) might be an attractive solution for business disputes, as they offer a faster and low-cost alternative to court proceedings. Ombudsmen or arbitration tools are useful in solving payment disputes and maintaining business relations, and they are usually preferable to going to court.</w:t>
      </w:r>
    </w:p>
    <w:p w:rsidR="002063E2" w:rsidRDefault="002063E2" w:rsidP="0097447A">
      <w:pPr>
        <w:spacing w:after="0" w:line="276" w:lineRule="auto"/>
        <w:ind w:left="720" w:right="50"/>
        <w:contextualSpacing/>
        <w:jc w:val="both"/>
        <w:rPr>
          <w:rFonts w:ascii="Verdana" w:hAnsi="Verdana"/>
          <w:sz w:val="18"/>
          <w:szCs w:val="18"/>
        </w:rPr>
      </w:pPr>
    </w:p>
    <w:p w:rsidR="00EF2C7B" w:rsidRPr="004D3DC6" w:rsidRDefault="00EF2C7B" w:rsidP="0097447A">
      <w:pPr>
        <w:spacing w:after="0" w:line="276" w:lineRule="auto"/>
        <w:ind w:left="720" w:right="50"/>
        <w:contextualSpacing/>
        <w:jc w:val="both"/>
        <w:rPr>
          <w:rFonts w:ascii="Verdana" w:hAnsi="Verdana"/>
          <w:sz w:val="18"/>
          <w:szCs w:val="18"/>
        </w:rPr>
      </w:pPr>
    </w:p>
    <w:p w:rsidR="002063E2" w:rsidRDefault="002063E2" w:rsidP="0097447A">
      <w:pPr>
        <w:numPr>
          <w:ilvl w:val="0"/>
          <w:numId w:val="7"/>
        </w:numPr>
        <w:spacing w:after="0" w:line="276" w:lineRule="auto"/>
        <w:ind w:right="50"/>
        <w:contextualSpacing/>
        <w:jc w:val="both"/>
        <w:rPr>
          <w:rFonts w:ascii="Verdana" w:hAnsi="Verdana"/>
          <w:b/>
          <w:sz w:val="18"/>
          <w:szCs w:val="18"/>
        </w:rPr>
      </w:pPr>
      <w:r w:rsidRPr="004D3DC6">
        <w:rPr>
          <w:rFonts w:ascii="Verdana" w:hAnsi="Verdana"/>
          <w:b/>
          <w:sz w:val="18"/>
          <w:szCs w:val="18"/>
        </w:rPr>
        <w:t>Administrative sanctions</w:t>
      </w:r>
      <w:r w:rsidR="00DF1A27" w:rsidRPr="004D3DC6">
        <w:rPr>
          <w:rFonts w:ascii="Verdana" w:hAnsi="Verdana"/>
          <w:b/>
          <w:sz w:val="18"/>
          <w:szCs w:val="18"/>
        </w:rPr>
        <w:t xml:space="preserve"> (b)</w:t>
      </w:r>
    </w:p>
    <w:p w:rsidR="00EF2C7B" w:rsidRPr="004D3DC6" w:rsidRDefault="00EF2C7B" w:rsidP="00EF2C7B">
      <w:pPr>
        <w:spacing w:after="0" w:line="276" w:lineRule="auto"/>
        <w:ind w:left="720" w:right="50"/>
        <w:contextualSpacing/>
        <w:jc w:val="both"/>
        <w:rPr>
          <w:rFonts w:ascii="Verdana" w:hAnsi="Verdana"/>
          <w:b/>
          <w:sz w:val="18"/>
          <w:szCs w:val="18"/>
        </w:rPr>
      </w:pPr>
    </w:p>
    <w:p w:rsidR="002063E2" w:rsidRPr="004D3DC6" w:rsidRDefault="002063E2" w:rsidP="0097447A">
      <w:pPr>
        <w:pStyle w:val="Lijstalinea"/>
        <w:spacing w:after="0" w:line="276" w:lineRule="auto"/>
        <w:ind w:right="50"/>
        <w:jc w:val="both"/>
        <w:rPr>
          <w:rFonts w:ascii="Verdana" w:hAnsi="Verdana"/>
          <w:sz w:val="18"/>
          <w:szCs w:val="18"/>
        </w:rPr>
      </w:pPr>
      <w:r w:rsidRPr="004D3DC6">
        <w:rPr>
          <w:rFonts w:ascii="Verdana" w:hAnsi="Verdana"/>
          <w:sz w:val="18"/>
          <w:szCs w:val="18"/>
        </w:rPr>
        <w:t>Administrative sanctions represent an important means of supporting the enforcement of national legislation on late payment. Given that administrative sanctions are enforced by public authorities, direct intervention from the public administration can overcome the ‘fear factor’ and helps to avoid placing the responsibility to take action against the debtor on the creditor.</w:t>
      </w:r>
    </w:p>
    <w:p w:rsidR="002063E2" w:rsidRDefault="002063E2" w:rsidP="0097447A">
      <w:pPr>
        <w:spacing w:after="0" w:line="276" w:lineRule="auto"/>
        <w:ind w:right="50"/>
        <w:contextualSpacing/>
        <w:jc w:val="both"/>
        <w:rPr>
          <w:rFonts w:ascii="Verdana" w:hAnsi="Verdana"/>
          <w:sz w:val="18"/>
          <w:szCs w:val="18"/>
        </w:rPr>
      </w:pPr>
    </w:p>
    <w:p w:rsidR="00EF2C7B" w:rsidRPr="004D3DC6" w:rsidRDefault="00EF2C7B" w:rsidP="0097447A">
      <w:pPr>
        <w:spacing w:after="0" w:line="276" w:lineRule="auto"/>
        <w:ind w:right="50"/>
        <w:contextualSpacing/>
        <w:jc w:val="both"/>
        <w:rPr>
          <w:rFonts w:ascii="Verdana" w:hAnsi="Verdana"/>
          <w:sz w:val="18"/>
          <w:szCs w:val="18"/>
        </w:rPr>
      </w:pPr>
    </w:p>
    <w:p w:rsidR="002063E2" w:rsidRDefault="002063E2" w:rsidP="0097447A">
      <w:pPr>
        <w:numPr>
          <w:ilvl w:val="0"/>
          <w:numId w:val="7"/>
        </w:numPr>
        <w:spacing w:after="0" w:line="276" w:lineRule="auto"/>
        <w:ind w:right="50"/>
        <w:contextualSpacing/>
        <w:jc w:val="both"/>
        <w:rPr>
          <w:rFonts w:ascii="Verdana" w:hAnsi="Verdana"/>
          <w:b/>
          <w:sz w:val="18"/>
          <w:szCs w:val="18"/>
        </w:rPr>
      </w:pPr>
      <w:r w:rsidRPr="004D3DC6">
        <w:rPr>
          <w:rFonts w:ascii="Verdana" w:hAnsi="Verdana"/>
          <w:b/>
          <w:sz w:val="18"/>
          <w:szCs w:val="18"/>
        </w:rPr>
        <w:lastRenderedPageBreak/>
        <w:t>Prompt payment codes</w:t>
      </w:r>
      <w:r w:rsidR="00DF1A27" w:rsidRPr="004D3DC6">
        <w:rPr>
          <w:rFonts w:ascii="Verdana" w:hAnsi="Verdana"/>
          <w:b/>
          <w:sz w:val="18"/>
          <w:szCs w:val="18"/>
        </w:rPr>
        <w:t xml:space="preserve"> (c)</w:t>
      </w:r>
    </w:p>
    <w:p w:rsidR="00EF2C7B" w:rsidRPr="004D3DC6" w:rsidRDefault="00EF2C7B" w:rsidP="00EF2C7B">
      <w:pPr>
        <w:spacing w:after="0" w:line="276" w:lineRule="auto"/>
        <w:ind w:left="720" w:right="50"/>
        <w:contextualSpacing/>
        <w:jc w:val="both"/>
        <w:rPr>
          <w:rFonts w:ascii="Verdana" w:hAnsi="Verdana"/>
          <w:b/>
          <w:sz w:val="18"/>
          <w:szCs w:val="18"/>
        </w:rPr>
      </w:pPr>
    </w:p>
    <w:p w:rsidR="002063E2" w:rsidRPr="004D3DC6" w:rsidRDefault="002063E2" w:rsidP="0097447A">
      <w:pPr>
        <w:spacing w:after="0" w:line="276" w:lineRule="auto"/>
        <w:ind w:left="720" w:right="50"/>
        <w:contextualSpacing/>
        <w:jc w:val="both"/>
        <w:rPr>
          <w:rFonts w:ascii="Verdana" w:hAnsi="Verdana"/>
          <w:b/>
          <w:sz w:val="18"/>
          <w:szCs w:val="18"/>
        </w:rPr>
      </w:pPr>
      <w:r w:rsidRPr="004D3DC6">
        <w:rPr>
          <w:rFonts w:ascii="Verdana" w:hAnsi="Verdana"/>
          <w:sz w:val="18"/>
          <w:szCs w:val="18"/>
        </w:rPr>
        <w:t xml:space="preserve">Codes and charters of good practice encourage signatory companies to respect specific requirements for improving their payment practices. </w:t>
      </w:r>
    </w:p>
    <w:p w:rsidR="002063E2" w:rsidRDefault="002063E2" w:rsidP="0097447A">
      <w:pPr>
        <w:spacing w:after="0" w:line="276" w:lineRule="auto"/>
        <w:ind w:left="1080" w:right="50"/>
        <w:contextualSpacing/>
        <w:jc w:val="both"/>
        <w:rPr>
          <w:rFonts w:ascii="Verdana" w:hAnsi="Verdana"/>
          <w:sz w:val="18"/>
          <w:szCs w:val="18"/>
        </w:rPr>
      </w:pPr>
    </w:p>
    <w:p w:rsidR="00EF2C7B" w:rsidRPr="004D3DC6" w:rsidRDefault="00EF2C7B" w:rsidP="0097447A">
      <w:pPr>
        <w:spacing w:after="0" w:line="276" w:lineRule="auto"/>
        <w:ind w:left="1080" w:right="50"/>
        <w:contextualSpacing/>
        <w:jc w:val="both"/>
        <w:rPr>
          <w:rFonts w:ascii="Verdana" w:hAnsi="Verdana"/>
          <w:sz w:val="18"/>
          <w:szCs w:val="18"/>
        </w:rPr>
      </w:pPr>
    </w:p>
    <w:p w:rsidR="002063E2" w:rsidRDefault="002063E2" w:rsidP="0097447A">
      <w:pPr>
        <w:numPr>
          <w:ilvl w:val="0"/>
          <w:numId w:val="7"/>
        </w:numPr>
        <w:spacing w:after="0" w:line="276" w:lineRule="auto"/>
        <w:ind w:right="50"/>
        <w:contextualSpacing/>
        <w:jc w:val="both"/>
        <w:rPr>
          <w:rFonts w:ascii="Verdana" w:hAnsi="Verdana"/>
          <w:b/>
          <w:sz w:val="18"/>
          <w:szCs w:val="18"/>
        </w:rPr>
      </w:pPr>
      <w:r w:rsidRPr="004D3DC6">
        <w:rPr>
          <w:rFonts w:ascii="Verdana" w:hAnsi="Verdana"/>
          <w:b/>
          <w:sz w:val="18"/>
          <w:szCs w:val="18"/>
        </w:rPr>
        <w:t>Corporate social responsibility</w:t>
      </w:r>
      <w:r w:rsidR="00DF1A27" w:rsidRPr="004D3DC6">
        <w:rPr>
          <w:rFonts w:ascii="Verdana" w:hAnsi="Verdana"/>
          <w:b/>
          <w:sz w:val="18"/>
          <w:szCs w:val="18"/>
        </w:rPr>
        <w:t xml:space="preserve"> (</w:t>
      </w:r>
      <w:r w:rsidR="00836A1E" w:rsidRPr="004D3DC6">
        <w:rPr>
          <w:rFonts w:ascii="Verdana" w:hAnsi="Verdana"/>
          <w:b/>
          <w:sz w:val="18"/>
          <w:szCs w:val="18"/>
        </w:rPr>
        <w:t>d</w:t>
      </w:r>
      <w:r w:rsidR="00DF1A27" w:rsidRPr="004D3DC6">
        <w:rPr>
          <w:rFonts w:ascii="Verdana" w:hAnsi="Verdana"/>
          <w:b/>
          <w:sz w:val="18"/>
          <w:szCs w:val="18"/>
        </w:rPr>
        <w:t>)</w:t>
      </w:r>
    </w:p>
    <w:p w:rsidR="00EF2C7B" w:rsidRPr="004D3DC6" w:rsidRDefault="00EF2C7B" w:rsidP="00EF2C7B">
      <w:pPr>
        <w:spacing w:after="0" w:line="276" w:lineRule="auto"/>
        <w:ind w:left="720" w:right="50"/>
        <w:contextualSpacing/>
        <w:jc w:val="both"/>
        <w:rPr>
          <w:rFonts w:ascii="Verdana" w:hAnsi="Verdana"/>
          <w:b/>
          <w:sz w:val="18"/>
          <w:szCs w:val="18"/>
        </w:rPr>
      </w:pPr>
    </w:p>
    <w:p w:rsidR="002063E2" w:rsidRPr="004D3DC6" w:rsidRDefault="002063E2" w:rsidP="0097447A">
      <w:pPr>
        <w:spacing w:after="0" w:line="276" w:lineRule="auto"/>
        <w:ind w:left="720" w:right="50"/>
        <w:contextualSpacing/>
        <w:jc w:val="both"/>
        <w:rPr>
          <w:rFonts w:ascii="Verdana" w:hAnsi="Verdana"/>
          <w:sz w:val="18"/>
          <w:szCs w:val="18"/>
        </w:rPr>
      </w:pPr>
      <w:r w:rsidRPr="004D3DC6">
        <w:rPr>
          <w:rFonts w:ascii="Verdana" w:hAnsi="Verdana"/>
          <w:sz w:val="18"/>
          <w:szCs w:val="18"/>
        </w:rPr>
        <w:t>Corporate social responsibility measures are similar in nature to prompt payment codes as they encourage companies to take responsibility for the improvement of their business behaviour, including payment practices.</w:t>
      </w:r>
    </w:p>
    <w:p w:rsidR="002063E2" w:rsidRDefault="002063E2" w:rsidP="0097447A">
      <w:pPr>
        <w:spacing w:after="0" w:line="276" w:lineRule="auto"/>
        <w:ind w:left="720" w:right="50"/>
        <w:contextualSpacing/>
        <w:jc w:val="both"/>
        <w:rPr>
          <w:rFonts w:ascii="Verdana" w:hAnsi="Verdana"/>
          <w:sz w:val="18"/>
          <w:szCs w:val="18"/>
        </w:rPr>
      </w:pPr>
    </w:p>
    <w:p w:rsidR="00EF2C7B" w:rsidRPr="004D3DC6" w:rsidRDefault="00EF2C7B" w:rsidP="0097447A">
      <w:pPr>
        <w:spacing w:after="0" w:line="276" w:lineRule="auto"/>
        <w:ind w:left="720" w:right="50"/>
        <w:contextualSpacing/>
        <w:jc w:val="both"/>
        <w:rPr>
          <w:rFonts w:ascii="Verdana" w:hAnsi="Verdana"/>
          <w:sz w:val="18"/>
          <w:szCs w:val="18"/>
        </w:rPr>
      </w:pPr>
    </w:p>
    <w:p w:rsidR="002063E2" w:rsidRDefault="002063E2" w:rsidP="0097447A">
      <w:pPr>
        <w:numPr>
          <w:ilvl w:val="0"/>
          <w:numId w:val="7"/>
        </w:numPr>
        <w:spacing w:after="0" w:line="276" w:lineRule="auto"/>
        <w:ind w:right="50"/>
        <w:contextualSpacing/>
        <w:jc w:val="both"/>
        <w:rPr>
          <w:rFonts w:ascii="Verdana" w:hAnsi="Verdana"/>
          <w:b/>
          <w:sz w:val="18"/>
          <w:szCs w:val="18"/>
        </w:rPr>
      </w:pPr>
      <w:r w:rsidRPr="004D3DC6">
        <w:rPr>
          <w:rFonts w:ascii="Verdana" w:hAnsi="Verdana"/>
          <w:b/>
          <w:sz w:val="18"/>
          <w:szCs w:val="18"/>
        </w:rPr>
        <w:t>Credit management education</w:t>
      </w:r>
      <w:r w:rsidR="00DF1A27" w:rsidRPr="004D3DC6">
        <w:rPr>
          <w:rFonts w:ascii="Verdana" w:hAnsi="Verdana"/>
          <w:b/>
          <w:sz w:val="18"/>
          <w:szCs w:val="18"/>
        </w:rPr>
        <w:t xml:space="preserve"> (d)</w:t>
      </w:r>
    </w:p>
    <w:p w:rsidR="00EF2C7B" w:rsidRPr="004D3DC6" w:rsidRDefault="00EF2C7B" w:rsidP="00EF2C7B">
      <w:pPr>
        <w:spacing w:after="0" w:line="276" w:lineRule="auto"/>
        <w:ind w:left="720" w:right="50"/>
        <w:contextualSpacing/>
        <w:jc w:val="both"/>
        <w:rPr>
          <w:rFonts w:ascii="Verdana" w:hAnsi="Verdana"/>
          <w:b/>
          <w:sz w:val="18"/>
          <w:szCs w:val="18"/>
        </w:rPr>
      </w:pPr>
      <w:r>
        <w:rPr>
          <w:noProof/>
        </w:rPr>
        <w:drawing>
          <wp:anchor distT="0" distB="0" distL="114300" distR="114300" simplePos="0" relativeHeight="251665408" behindDoc="0" locked="0" layoutInCell="1" allowOverlap="1">
            <wp:simplePos x="0" y="0"/>
            <wp:positionH relativeFrom="column">
              <wp:posOffset>3833495</wp:posOffset>
            </wp:positionH>
            <wp:positionV relativeFrom="paragraph">
              <wp:posOffset>129540</wp:posOffset>
            </wp:positionV>
            <wp:extent cx="2095500" cy="1035685"/>
            <wp:effectExtent l="0" t="0" r="0" b="0"/>
            <wp:wrapSquare wrapText="bothSides"/>
            <wp:docPr id="11" name="Afbeelding 11" descr="Afbeeldingsresultaat voor credit management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credit management educat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95500" cy="103568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063E2" w:rsidRPr="004D3DC6" w:rsidRDefault="002063E2" w:rsidP="0097447A">
      <w:pPr>
        <w:spacing w:after="0" w:line="276" w:lineRule="auto"/>
        <w:ind w:left="720" w:right="50"/>
        <w:contextualSpacing/>
        <w:jc w:val="both"/>
        <w:rPr>
          <w:rFonts w:ascii="Verdana" w:hAnsi="Verdana"/>
          <w:sz w:val="18"/>
          <w:szCs w:val="18"/>
        </w:rPr>
      </w:pPr>
      <w:r w:rsidRPr="004D3DC6">
        <w:rPr>
          <w:rFonts w:ascii="Verdana" w:hAnsi="Verdana"/>
          <w:sz w:val="18"/>
          <w:szCs w:val="18"/>
        </w:rPr>
        <w:t>Effective credit management shortens the average collection period and maintains an optimal cash flow, thus reducing the risk of default and increasing the potential for growth. Training and support may also make it more likely that SMEs use the remedies of the Late Payment Directive.</w:t>
      </w:r>
    </w:p>
    <w:p w:rsidR="00385B66" w:rsidRDefault="00385B66" w:rsidP="0097447A">
      <w:pPr>
        <w:spacing w:after="0" w:line="276" w:lineRule="auto"/>
        <w:ind w:left="720" w:right="50"/>
        <w:contextualSpacing/>
        <w:jc w:val="both"/>
        <w:rPr>
          <w:rFonts w:ascii="Verdana" w:hAnsi="Verdana"/>
          <w:sz w:val="18"/>
          <w:szCs w:val="18"/>
        </w:rPr>
      </w:pPr>
    </w:p>
    <w:p w:rsidR="00BD1A89" w:rsidRPr="004D3DC6" w:rsidRDefault="00BD1A89" w:rsidP="0097447A">
      <w:pPr>
        <w:spacing w:after="0" w:line="276" w:lineRule="auto"/>
        <w:ind w:left="720" w:right="50"/>
        <w:contextualSpacing/>
        <w:jc w:val="both"/>
        <w:rPr>
          <w:rFonts w:ascii="Verdana" w:hAnsi="Verdana"/>
          <w:sz w:val="18"/>
          <w:szCs w:val="18"/>
        </w:rPr>
      </w:pPr>
    </w:p>
    <w:p w:rsidR="002063E2" w:rsidRDefault="002063E2" w:rsidP="0097447A">
      <w:pPr>
        <w:numPr>
          <w:ilvl w:val="0"/>
          <w:numId w:val="7"/>
        </w:numPr>
        <w:spacing w:after="0" w:line="276" w:lineRule="auto"/>
        <w:ind w:right="50"/>
        <w:contextualSpacing/>
        <w:jc w:val="both"/>
        <w:rPr>
          <w:rFonts w:ascii="Verdana" w:hAnsi="Verdana"/>
          <w:b/>
          <w:sz w:val="18"/>
          <w:szCs w:val="18"/>
        </w:rPr>
      </w:pPr>
      <w:r w:rsidRPr="004D3DC6">
        <w:rPr>
          <w:rFonts w:ascii="Verdana" w:hAnsi="Verdana"/>
          <w:b/>
          <w:sz w:val="18"/>
          <w:szCs w:val="18"/>
        </w:rPr>
        <w:t>Unfair contractual terms and the role of business organisations</w:t>
      </w:r>
      <w:r w:rsidR="00DF1A27" w:rsidRPr="004D3DC6">
        <w:rPr>
          <w:rFonts w:ascii="Verdana" w:hAnsi="Verdana"/>
          <w:b/>
          <w:sz w:val="18"/>
          <w:szCs w:val="18"/>
        </w:rPr>
        <w:t xml:space="preserve"> (d)</w:t>
      </w:r>
    </w:p>
    <w:p w:rsidR="00EF2C7B" w:rsidRPr="004D3DC6" w:rsidRDefault="00EF2C7B" w:rsidP="00EF2C7B">
      <w:pPr>
        <w:spacing w:after="0" w:line="276" w:lineRule="auto"/>
        <w:ind w:left="720" w:right="50"/>
        <w:contextualSpacing/>
        <w:jc w:val="both"/>
        <w:rPr>
          <w:rFonts w:ascii="Verdana" w:hAnsi="Verdana"/>
          <w:b/>
          <w:sz w:val="18"/>
          <w:szCs w:val="18"/>
        </w:rPr>
      </w:pPr>
    </w:p>
    <w:p w:rsidR="002063E2" w:rsidRPr="004D3DC6" w:rsidRDefault="002063E2" w:rsidP="0097447A">
      <w:pPr>
        <w:spacing w:after="0" w:line="276" w:lineRule="auto"/>
        <w:ind w:left="720" w:right="50"/>
        <w:contextualSpacing/>
        <w:jc w:val="both"/>
        <w:rPr>
          <w:rFonts w:ascii="Verdana" w:hAnsi="Verdana"/>
          <w:sz w:val="18"/>
          <w:szCs w:val="18"/>
        </w:rPr>
      </w:pPr>
      <w:r w:rsidRPr="004D3DC6">
        <w:rPr>
          <w:rFonts w:ascii="Verdana" w:hAnsi="Verdana"/>
          <w:sz w:val="18"/>
          <w:szCs w:val="18"/>
        </w:rPr>
        <w:t>Business organisations’ representatives could have an essential role in helping SMEs with insufficient resources or lacking the knowledge of the relevant legal framework and available remedies to take action against ‘grossly unfair terms and practices’.</w:t>
      </w:r>
    </w:p>
    <w:p w:rsidR="004D3DC6" w:rsidRDefault="004D3DC6" w:rsidP="0097447A">
      <w:pPr>
        <w:spacing w:after="0" w:line="276" w:lineRule="auto"/>
        <w:ind w:left="720" w:right="50"/>
        <w:contextualSpacing/>
        <w:jc w:val="both"/>
        <w:rPr>
          <w:rFonts w:ascii="Verdana" w:hAnsi="Verdana"/>
          <w:sz w:val="18"/>
          <w:szCs w:val="18"/>
        </w:rPr>
      </w:pPr>
    </w:p>
    <w:p w:rsidR="00EF2C7B" w:rsidRPr="004D3DC6" w:rsidRDefault="00EF2C7B" w:rsidP="0097447A">
      <w:pPr>
        <w:spacing w:after="0" w:line="276" w:lineRule="auto"/>
        <w:ind w:left="720" w:right="50"/>
        <w:contextualSpacing/>
        <w:jc w:val="both"/>
        <w:rPr>
          <w:rFonts w:ascii="Verdana" w:hAnsi="Verdana"/>
          <w:sz w:val="18"/>
          <w:szCs w:val="18"/>
        </w:rPr>
      </w:pPr>
    </w:p>
    <w:p w:rsidR="002063E2" w:rsidRDefault="002063E2" w:rsidP="0097447A">
      <w:pPr>
        <w:numPr>
          <w:ilvl w:val="0"/>
          <w:numId w:val="7"/>
        </w:numPr>
        <w:spacing w:after="0" w:line="276" w:lineRule="auto"/>
        <w:ind w:right="50"/>
        <w:contextualSpacing/>
        <w:jc w:val="both"/>
        <w:rPr>
          <w:rFonts w:ascii="Verdana" w:hAnsi="Verdana"/>
          <w:b/>
          <w:sz w:val="18"/>
          <w:szCs w:val="18"/>
        </w:rPr>
      </w:pPr>
      <w:r w:rsidRPr="004D3DC6">
        <w:rPr>
          <w:rFonts w:ascii="Verdana" w:hAnsi="Verdana"/>
          <w:b/>
          <w:sz w:val="18"/>
          <w:szCs w:val="18"/>
        </w:rPr>
        <w:t>Awareness raising activities</w:t>
      </w:r>
      <w:r w:rsidR="00DF1A27" w:rsidRPr="004D3DC6">
        <w:rPr>
          <w:rFonts w:ascii="Verdana" w:hAnsi="Verdana"/>
          <w:b/>
          <w:sz w:val="18"/>
          <w:szCs w:val="18"/>
        </w:rPr>
        <w:t xml:space="preserve"> (d)</w:t>
      </w:r>
    </w:p>
    <w:p w:rsidR="00EF2C7B" w:rsidRPr="004D3DC6" w:rsidRDefault="00EF2C7B" w:rsidP="00EF2C7B">
      <w:pPr>
        <w:spacing w:after="0" w:line="276" w:lineRule="auto"/>
        <w:ind w:left="720" w:right="50"/>
        <w:contextualSpacing/>
        <w:jc w:val="both"/>
        <w:rPr>
          <w:rFonts w:ascii="Verdana" w:hAnsi="Verdana"/>
          <w:b/>
          <w:sz w:val="18"/>
          <w:szCs w:val="18"/>
        </w:rPr>
      </w:pPr>
    </w:p>
    <w:p w:rsidR="002063E2" w:rsidRDefault="002063E2" w:rsidP="0097447A">
      <w:pPr>
        <w:spacing w:after="0" w:line="276" w:lineRule="auto"/>
        <w:ind w:left="720" w:right="50"/>
        <w:contextualSpacing/>
        <w:jc w:val="both"/>
        <w:rPr>
          <w:rFonts w:ascii="Verdana" w:hAnsi="Verdana"/>
          <w:sz w:val="18"/>
          <w:szCs w:val="18"/>
        </w:rPr>
      </w:pPr>
      <w:r w:rsidRPr="004D3DC6">
        <w:rPr>
          <w:rFonts w:ascii="Verdana" w:hAnsi="Verdana"/>
          <w:sz w:val="18"/>
          <w:szCs w:val="18"/>
        </w:rPr>
        <w:t>Awareness-raising activities (events, seminars, information sessions and communication campaigns)  aim to increase knowledge about issues related to late payment in B2B transactions, rights and remedies stemming from the LPD or other national measures.</w:t>
      </w:r>
    </w:p>
    <w:p w:rsidR="00EF2C7B" w:rsidRPr="004D3DC6" w:rsidRDefault="00EF2C7B" w:rsidP="0097447A">
      <w:pPr>
        <w:spacing w:after="0" w:line="276" w:lineRule="auto"/>
        <w:ind w:left="720" w:right="50"/>
        <w:contextualSpacing/>
        <w:jc w:val="both"/>
        <w:rPr>
          <w:rFonts w:ascii="Verdana" w:hAnsi="Verdana"/>
          <w:sz w:val="18"/>
          <w:szCs w:val="18"/>
        </w:rPr>
      </w:pPr>
    </w:p>
    <w:p w:rsidR="002063E2" w:rsidRPr="004D3DC6" w:rsidRDefault="002063E2" w:rsidP="0097447A">
      <w:pPr>
        <w:spacing w:after="0" w:line="276" w:lineRule="auto"/>
        <w:ind w:left="720" w:right="50"/>
        <w:contextualSpacing/>
        <w:jc w:val="both"/>
        <w:rPr>
          <w:rFonts w:ascii="Verdana" w:hAnsi="Verdana"/>
          <w:sz w:val="18"/>
          <w:szCs w:val="18"/>
        </w:rPr>
      </w:pPr>
    </w:p>
    <w:p w:rsidR="002063E2" w:rsidRDefault="002063E2" w:rsidP="0097447A">
      <w:pPr>
        <w:numPr>
          <w:ilvl w:val="0"/>
          <w:numId w:val="7"/>
        </w:numPr>
        <w:spacing w:after="0" w:line="276" w:lineRule="auto"/>
        <w:ind w:right="50"/>
        <w:contextualSpacing/>
        <w:jc w:val="both"/>
        <w:rPr>
          <w:rFonts w:ascii="Verdana" w:hAnsi="Verdana"/>
          <w:b/>
          <w:sz w:val="18"/>
          <w:szCs w:val="18"/>
        </w:rPr>
      </w:pPr>
      <w:r w:rsidRPr="004D3DC6">
        <w:rPr>
          <w:rFonts w:ascii="Verdana" w:hAnsi="Verdana"/>
          <w:b/>
          <w:sz w:val="18"/>
          <w:szCs w:val="18"/>
        </w:rPr>
        <w:t>Labels and prize</w:t>
      </w:r>
      <w:r w:rsidR="00DF1A27" w:rsidRPr="004D3DC6">
        <w:rPr>
          <w:rFonts w:ascii="Verdana" w:hAnsi="Verdana"/>
          <w:b/>
          <w:sz w:val="18"/>
          <w:szCs w:val="18"/>
        </w:rPr>
        <w:t xml:space="preserve"> (c</w:t>
      </w:r>
      <w:r w:rsidR="00836A1E" w:rsidRPr="004D3DC6">
        <w:rPr>
          <w:rFonts w:ascii="Verdana" w:hAnsi="Verdana"/>
          <w:b/>
          <w:sz w:val="18"/>
          <w:szCs w:val="18"/>
        </w:rPr>
        <w:t>-d</w:t>
      </w:r>
      <w:r w:rsidR="00DF1A27" w:rsidRPr="004D3DC6">
        <w:rPr>
          <w:rFonts w:ascii="Verdana" w:hAnsi="Verdana"/>
          <w:b/>
          <w:sz w:val="18"/>
          <w:szCs w:val="18"/>
        </w:rPr>
        <w:t>)</w:t>
      </w:r>
    </w:p>
    <w:p w:rsidR="00EF2C7B" w:rsidRPr="004D3DC6" w:rsidRDefault="00EF2C7B" w:rsidP="00EF2C7B">
      <w:pPr>
        <w:spacing w:after="0" w:line="276" w:lineRule="auto"/>
        <w:ind w:left="720" w:right="50"/>
        <w:contextualSpacing/>
        <w:jc w:val="both"/>
        <w:rPr>
          <w:rFonts w:ascii="Verdana" w:hAnsi="Verdana"/>
          <w:b/>
          <w:sz w:val="18"/>
          <w:szCs w:val="18"/>
        </w:rPr>
      </w:pPr>
      <w:r>
        <w:rPr>
          <w:noProof/>
        </w:rPr>
        <w:drawing>
          <wp:anchor distT="0" distB="0" distL="114300" distR="114300" simplePos="0" relativeHeight="251663360" behindDoc="0" locked="0" layoutInCell="1" allowOverlap="1">
            <wp:simplePos x="0" y="0"/>
            <wp:positionH relativeFrom="column">
              <wp:posOffset>3404870</wp:posOffset>
            </wp:positionH>
            <wp:positionV relativeFrom="paragraph">
              <wp:posOffset>73025</wp:posOffset>
            </wp:positionV>
            <wp:extent cx="2514600" cy="1223645"/>
            <wp:effectExtent l="0" t="0" r="0" b="0"/>
            <wp:wrapSquare wrapText="bothSides"/>
            <wp:docPr id="9" name="Afbeelding 9"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elateerde afbeeldin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5861"/>
                    <a:stretch/>
                  </pic:blipFill>
                  <pic:spPr bwMode="auto">
                    <a:xfrm>
                      <a:off x="0" y="0"/>
                      <a:ext cx="2514600" cy="12236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2063E2" w:rsidRPr="004D3DC6" w:rsidRDefault="002063E2" w:rsidP="0097447A">
      <w:pPr>
        <w:spacing w:after="0" w:line="276" w:lineRule="auto"/>
        <w:ind w:left="720" w:right="50"/>
        <w:contextualSpacing/>
        <w:jc w:val="both"/>
        <w:rPr>
          <w:rFonts w:ascii="Verdana" w:hAnsi="Verdana"/>
          <w:sz w:val="18"/>
          <w:szCs w:val="18"/>
        </w:rPr>
      </w:pPr>
      <w:r w:rsidRPr="004D3DC6">
        <w:rPr>
          <w:rFonts w:ascii="Verdana" w:hAnsi="Verdana"/>
          <w:sz w:val="18"/>
          <w:szCs w:val="18"/>
        </w:rPr>
        <w:t xml:space="preserve">Based on positive financial figures, background information and good payment behaviour, companies can receive a label/certificate for their good payment practices. The companies provide the information to the government and they decide whether or not they receive a label/certificate. </w:t>
      </w:r>
    </w:p>
    <w:p w:rsidR="002063E2" w:rsidRDefault="002063E2" w:rsidP="0097447A">
      <w:pPr>
        <w:spacing w:after="0" w:line="276" w:lineRule="auto"/>
        <w:ind w:left="720" w:right="50"/>
        <w:contextualSpacing/>
        <w:jc w:val="both"/>
        <w:rPr>
          <w:rFonts w:ascii="Verdana" w:hAnsi="Verdana"/>
          <w:sz w:val="18"/>
          <w:szCs w:val="18"/>
        </w:rPr>
      </w:pPr>
    </w:p>
    <w:p w:rsidR="00EF2C7B" w:rsidRDefault="00EF2C7B" w:rsidP="0097447A">
      <w:pPr>
        <w:spacing w:after="0" w:line="276" w:lineRule="auto"/>
        <w:ind w:left="720" w:right="50"/>
        <w:contextualSpacing/>
        <w:jc w:val="both"/>
        <w:rPr>
          <w:rFonts w:ascii="Verdana" w:hAnsi="Verdana"/>
          <w:sz w:val="18"/>
          <w:szCs w:val="18"/>
        </w:rPr>
      </w:pPr>
    </w:p>
    <w:p w:rsidR="00EF2C7B" w:rsidRDefault="00EF2C7B" w:rsidP="0097447A">
      <w:pPr>
        <w:spacing w:after="0" w:line="276" w:lineRule="auto"/>
        <w:ind w:left="720" w:right="50"/>
        <w:contextualSpacing/>
        <w:jc w:val="both"/>
        <w:rPr>
          <w:rFonts w:ascii="Verdana" w:hAnsi="Verdana"/>
          <w:sz w:val="18"/>
          <w:szCs w:val="18"/>
        </w:rPr>
      </w:pPr>
    </w:p>
    <w:p w:rsidR="00EF2C7B" w:rsidRDefault="00EF2C7B" w:rsidP="0097447A">
      <w:pPr>
        <w:spacing w:after="0" w:line="276" w:lineRule="auto"/>
        <w:ind w:left="720" w:right="50"/>
        <w:contextualSpacing/>
        <w:jc w:val="both"/>
        <w:rPr>
          <w:rFonts w:ascii="Verdana" w:hAnsi="Verdana"/>
          <w:sz w:val="18"/>
          <w:szCs w:val="18"/>
        </w:rPr>
      </w:pPr>
    </w:p>
    <w:p w:rsidR="00EF2C7B" w:rsidRPr="004D3DC6" w:rsidRDefault="00EF2C7B" w:rsidP="0097447A">
      <w:pPr>
        <w:spacing w:after="0" w:line="276" w:lineRule="auto"/>
        <w:ind w:left="720" w:right="50"/>
        <w:contextualSpacing/>
        <w:jc w:val="both"/>
        <w:rPr>
          <w:rFonts w:ascii="Verdana" w:hAnsi="Verdana"/>
          <w:sz w:val="18"/>
          <w:szCs w:val="18"/>
        </w:rPr>
      </w:pPr>
    </w:p>
    <w:p w:rsidR="002063E2" w:rsidRDefault="002063E2" w:rsidP="0097447A">
      <w:pPr>
        <w:numPr>
          <w:ilvl w:val="0"/>
          <w:numId w:val="7"/>
        </w:numPr>
        <w:spacing w:after="0" w:line="276" w:lineRule="auto"/>
        <w:ind w:right="50"/>
        <w:contextualSpacing/>
        <w:jc w:val="both"/>
        <w:rPr>
          <w:rFonts w:ascii="Verdana" w:hAnsi="Verdana"/>
          <w:b/>
          <w:sz w:val="18"/>
          <w:szCs w:val="18"/>
        </w:rPr>
      </w:pPr>
      <w:r w:rsidRPr="004D3DC6">
        <w:rPr>
          <w:rFonts w:ascii="Verdana" w:hAnsi="Verdana"/>
          <w:b/>
          <w:sz w:val="18"/>
          <w:szCs w:val="18"/>
        </w:rPr>
        <w:lastRenderedPageBreak/>
        <w:t>Working groups</w:t>
      </w:r>
      <w:r w:rsidR="00DF1A27" w:rsidRPr="004D3DC6">
        <w:rPr>
          <w:rFonts w:ascii="Verdana" w:hAnsi="Verdana"/>
          <w:b/>
          <w:sz w:val="18"/>
          <w:szCs w:val="18"/>
        </w:rPr>
        <w:t xml:space="preserve"> (d)</w:t>
      </w:r>
    </w:p>
    <w:p w:rsidR="00EF2C7B" w:rsidRPr="004D3DC6" w:rsidRDefault="00EF2C7B" w:rsidP="00EF2C7B">
      <w:pPr>
        <w:spacing w:after="0" w:line="276" w:lineRule="auto"/>
        <w:ind w:left="720" w:right="50"/>
        <w:contextualSpacing/>
        <w:jc w:val="both"/>
        <w:rPr>
          <w:rFonts w:ascii="Verdana" w:hAnsi="Verdana"/>
          <w:b/>
          <w:sz w:val="18"/>
          <w:szCs w:val="18"/>
        </w:rPr>
      </w:pPr>
    </w:p>
    <w:p w:rsidR="002063E2" w:rsidRDefault="002063E2" w:rsidP="0097447A">
      <w:pPr>
        <w:spacing w:after="0" w:line="276" w:lineRule="auto"/>
        <w:ind w:left="720" w:right="50"/>
        <w:contextualSpacing/>
        <w:jc w:val="both"/>
        <w:rPr>
          <w:rFonts w:ascii="Verdana" w:hAnsi="Verdana"/>
          <w:sz w:val="18"/>
          <w:szCs w:val="18"/>
        </w:rPr>
      </w:pPr>
      <w:r w:rsidRPr="004D3DC6">
        <w:rPr>
          <w:rFonts w:ascii="Verdana" w:hAnsi="Verdana"/>
          <w:sz w:val="18"/>
          <w:szCs w:val="18"/>
        </w:rPr>
        <w:t xml:space="preserve">Governments could use fora and working groups for discussing the issues of late payment, reflecting on solutions and raising awareness of good practices. </w:t>
      </w:r>
    </w:p>
    <w:p w:rsidR="00EF2C7B" w:rsidRPr="004D3DC6" w:rsidRDefault="00EF2C7B" w:rsidP="00EF2C7B">
      <w:pPr>
        <w:spacing w:after="0" w:line="276" w:lineRule="auto"/>
        <w:ind w:right="50"/>
        <w:contextualSpacing/>
        <w:jc w:val="both"/>
        <w:rPr>
          <w:rFonts w:ascii="Verdana" w:hAnsi="Verdana"/>
          <w:sz w:val="18"/>
          <w:szCs w:val="18"/>
        </w:rPr>
      </w:pPr>
    </w:p>
    <w:p w:rsidR="002063E2" w:rsidRPr="004D3DC6" w:rsidRDefault="002063E2" w:rsidP="0097447A">
      <w:pPr>
        <w:spacing w:after="0" w:line="276" w:lineRule="auto"/>
        <w:ind w:left="720" w:right="50"/>
        <w:contextualSpacing/>
        <w:jc w:val="both"/>
        <w:rPr>
          <w:rFonts w:ascii="Verdana" w:hAnsi="Verdana"/>
          <w:sz w:val="18"/>
          <w:szCs w:val="18"/>
        </w:rPr>
      </w:pPr>
    </w:p>
    <w:p w:rsidR="002063E2" w:rsidRDefault="002063E2" w:rsidP="0097447A">
      <w:pPr>
        <w:numPr>
          <w:ilvl w:val="0"/>
          <w:numId w:val="7"/>
        </w:numPr>
        <w:spacing w:after="0" w:line="276" w:lineRule="auto"/>
        <w:ind w:right="50"/>
        <w:contextualSpacing/>
        <w:jc w:val="both"/>
        <w:rPr>
          <w:rFonts w:ascii="Verdana" w:hAnsi="Verdana"/>
          <w:b/>
          <w:sz w:val="18"/>
          <w:szCs w:val="18"/>
        </w:rPr>
      </w:pPr>
      <w:r w:rsidRPr="004D3DC6">
        <w:rPr>
          <w:rFonts w:ascii="Verdana" w:hAnsi="Verdana"/>
          <w:b/>
          <w:sz w:val="18"/>
          <w:szCs w:val="18"/>
        </w:rPr>
        <w:t>Compensation for recovery costs proportional to the size of the debt</w:t>
      </w:r>
      <w:r w:rsidR="00DF1A27" w:rsidRPr="004D3DC6">
        <w:rPr>
          <w:rFonts w:ascii="Verdana" w:hAnsi="Verdana"/>
          <w:b/>
          <w:sz w:val="18"/>
          <w:szCs w:val="18"/>
        </w:rPr>
        <w:t xml:space="preserve"> (</w:t>
      </w:r>
      <w:r w:rsidR="00836A1E" w:rsidRPr="004D3DC6">
        <w:rPr>
          <w:rFonts w:ascii="Verdana" w:hAnsi="Verdana"/>
          <w:b/>
          <w:sz w:val="18"/>
          <w:szCs w:val="18"/>
        </w:rPr>
        <w:t>e</w:t>
      </w:r>
      <w:r w:rsidR="00DF1A27" w:rsidRPr="004D3DC6">
        <w:rPr>
          <w:rFonts w:ascii="Verdana" w:hAnsi="Verdana"/>
          <w:b/>
          <w:sz w:val="18"/>
          <w:szCs w:val="18"/>
        </w:rPr>
        <w:t>)</w:t>
      </w:r>
    </w:p>
    <w:p w:rsidR="00EF2C7B" w:rsidRPr="004D3DC6" w:rsidRDefault="00EF2C7B" w:rsidP="00EF2C7B">
      <w:pPr>
        <w:spacing w:after="0" w:line="276" w:lineRule="auto"/>
        <w:ind w:left="720" w:right="50"/>
        <w:contextualSpacing/>
        <w:jc w:val="both"/>
        <w:rPr>
          <w:rFonts w:ascii="Verdana" w:hAnsi="Verdana"/>
          <w:b/>
          <w:sz w:val="18"/>
          <w:szCs w:val="18"/>
        </w:rPr>
      </w:pPr>
    </w:p>
    <w:p w:rsidR="002063E2" w:rsidRPr="004D3DC6" w:rsidRDefault="002063E2" w:rsidP="0097447A">
      <w:pPr>
        <w:spacing w:after="0" w:line="276" w:lineRule="auto"/>
        <w:ind w:left="720" w:right="50"/>
        <w:contextualSpacing/>
        <w:jc w:val="both"/>
        <w:rPr>
          <w:rFonts w:ascii="Verdana" w:hAnsi="Verdana"/>
          <w:sz w:val="18"/>
          <w:szCs w:val="18"/>
        </w:rPr>
      </w:pPr>
      <w:r w:rsidRPr="004D3DC6">
        <w:rPr>
          <w:rFonts w:ascii="Verdana" w:hAnsi="Verdana"/>
          <w:sz w:val="18"/>
          <w:szCs w:val="18"/>
        </w:rPr>
        <w:t>The Late Payment Directive sets out a fixed sum of EUR 40 as compensation for recovery costs that the creditor is entitled to obtain from the debtor once interest for late payment has become payable.</w:t>
      </w:r>
    </w:p>
    <w:p w:rsidR="00EF2C7B" w:rsidRDefault="00EF2C7B" w:rsidP="0097447A">
      <w:pPr>
        <w:spacing w:after="0" w:line="276" w:lineRule="auto"/>
        <w:ind w:left="720" w:right="50"/>
        <w:contextualSpacing/>
        <w:jc w:val="both"/>
        <w:rPr>
          <w:rFonts w:ascii="Verdana" w:hAnsi="Verdana"/>
          <w:sz w:val="18"/>
          <w:szCs w:val="18"/>
        </w:rPr>
      </w:pPr>
    </w:p>
    <w:p w:rsidR="00EF2C7B" w:rsidRPr="004D3DC6" w:rsidRDefault="00EF2C7B" w:rsidP="0097447A">
      <w:pPr>
        <w:spacing w:after="0" w:line="276" w:lineRule="auto"/>
        <w:ind w:left="720" w:right="50"/>
        <w:contextualSpacing/>
        <w:jc w:val="both"/>
        <w:rPr>
          <w:rFonts w:ascii="Verdana" w:hAnsi="Verdana"/>
          <w:sz w:val="18"/>
          <w:szCs w:val="18"/>
        </w:rPr>
      </w:pPr>
    </w:p>
    <w:p w:rsidR="002063E2" w:rsidRDefault="002063E2" w:rsidP="0097447A">
      <w:pPr>
        <w:numPr>
          <w:ilvl w:val="0"/>
          <w:numId w:val="7"/>
        </w:numPr>
        <w:spacing w:after="0" w:line="276" w:lineRule="auto"/>
        <w:ind w:right="50"/>
        <w:contextualSpacing/>
        <w:jc w:val="both"/>
        <w:rPr>
          <w:rFonts w:ascii="Verdana" w:hAnsi="Verdana"/>
          <w:b/>
          <w:sz w:val="18"/>
          <w:szCs w:val="18"/>
        </w:rPr>
      </w:pPr>
      <w:r w:rsidRPr="004D3DC6">
        <w:rPr>
          <w:rFonts w:ascii="Verdana" w:hAnsi="Verdana"/>
          <w:b/>
          <w:sz w:val="18"/>
          <w:szCs w:val="18"/>
        </w:rPr>
        <w:t>Legal provisions on the retention of title</w:t>
      </w:r>
      <w:r w:rsidR="00DF1A27" w:rsidRPr="004D3DC6">
        <w:rPr>
          <w:rFonts w:ascii="Verdana" w:hAnsi="Verdana"/>
          <w:b/>
          <w:sz w:val="18"/>
          <w:szCs w:val="18"/>
        </w:rPr>
        <w:t xml:space="preserve"> (b)</w:t>
      </w:r>
    </w:p>
    <w:p w:rsidR="00EF2C7B" w:rsidRPr="004D3DC6" w:rsidRDefault="00EF2C7B" w:rsidP="00EF2C7B">
      <w:pPr>
        <w:spacing w:after="0" w:line="276" w:lineRule="auto"/>
        <w:ind w:left="720" w:right="50"/>
        <w:contextualSpacing/>
        <w:jc w:val="both"/>
        <w:rPr>
          <w:rFonts w:ascii="Verdana" w:hAnsi="Verdana"/>
          <w:b/>
          <w:sz w:val="18"/>
          <w:szCs w:val="18"/>
        </w:rPr>
      </w:pPr>
    </w:p>
    <w:p w:rsidR="002063E2" w:rsidRPr="004D3DC6" w:rsidRDefault="002063E2" w:rsidP="0097447A">
      <w:pPr>
        <w:spacing w:after="0" w:line="276" w:lineRule="auto"/>
        <w:ind w:left="720" w:right="50"/>
        <w:contextualSpacing/>
        <w:jc w:val="both"/>
        <w:rPr>
          <w:rFonts w:ascii="Verdana" w:hAnsi="Verdana"/>
          <w:sz w:val="18"/>
          <w:szCs w:val="18"/>
        </w:rPr>
      </w:pPr>
      <w:r w:rsidRPr="004D3DC6">
        <w:rPr>
          <w:rFonts w:ascii="Verdana" w:hAnsi="Verdana"/>
          <w:sz w:val="18"/>
          <w:szCs w:val="18"/>
        </w:rPr>
        <w:t>The retention of title constitutes a security right that allows the seller to maintain the ownership on the sold good until the buyer has paid the full price. The clause might also establish that the transfer of the ownership happens only once the payment has been performed.</w:t>
      </w:r>
    </w:p>
    <w:p w:rsidR="002063E2" w:rsidRDefault="002063E2" w:rsidP="0097447A">
      <w:pPr>
        <w:spacing w:after="0" w:line="276" w:lineRule="auto"/>
        <w:ind w:left="720" w:right="50"/>
        <w:contextualSpacing/>
        <w:jc w:val="both"/>
        <w:rPr>
          <w:rFonts w:ascii="Verdana" w:hAnsi="Verdana"/>
          <w:sz w:val="18"/>
          <w:szCs w:val="18"/>
        </w:rPr>
      </w:pPr>
    </w:p>
    <w:p w:rsidR="00EF2C7B" w:rsidRPr="004D3DC6" w:rsidRDefault="00EF2C7B" w:rsidP="0097447A">
      <w:pPr>
        <w:spacing w:after="0" w:line="276" w:lineRule="auto"/>
        <w:ind w:left="720" w:right="50"/>
        <w:contextualSpacing/>
        <w:jc w:val="both"/>
        <w:rPr>
          <w:rFonts w:ascii="Verdana" w:hAnsi="Verdana"/>
          <w:sz w:val="18"/>
          <w:szCs w:val="18"/>
        </w:rPr>
      </w:pPr>
    </w:p>
    <w:p w:rsidR="002063E2" w:rsidRDefault="002063E2" w:rsidP="0097447A">
      <w:pPr>
        <w:numPr>
          <w:ilvl w:val="0"/>
          <w:numId w:val="7"/>
        </w:numPr>
        <w:spacing w:after="0" w:line="276" w:lineRule="auto"/>
        <w:ind w:right="50"/>
        <w:contextualSpacing/>
        <w:jc w:val="both"/>
        <w:rPr>
          <w:rFonts w:ascii="Verdana" w:hAnsi="Verdana"/>
          <w:b/>
          <w:sz w:val="18"/>
          <w:szCs w:val="18"/>
        </w:rPr>
      </w:pPr>
      <w:r w:rsidRPr="004D3DC6">
        <w:rPr>
          <w:rFonts w:ascii="Verdana" w:hAnsi="Verdana"/>
          <w:b/>
          <w:sz w:val="18"/>
          <w:szCs w:val="18"/>
        </w:rPr>
        <w:t>Tax regulations</w:t>
      </w:r>
      <w:r w:rsidR="00DF1A27" w:rsidRPr="004D3DC6">
        <w:rPr>
          <w:rFonts w:ascii="Verdana" w:hAnsi="Verdana"/>
          <w:b/>
          <w:sz w:val="18"/>
          <w:szCs w:val="18"/>
        </w:rPr>
        <w:t xml:space="preserve"> (e)</w:t>
      </w:r>
    </w:p>
    <w:p w:rsidR="00EF2C7B" w:rsidRPr="004D3DC6" w:rsidRDefault="00EF2C7B" w:rsidP="00EF2C7B">
      <w:pPr>
        <w:spacing w:after="0" w:line="276" w:lineRule="auto"/>
        <w:ind w:left="720" w:right="50"/>
        <w:contextualSpacing/>
        <w:jc w:val="both"/>
        <w:rPr>
          <w:rFonts w:ascii="Verdana" w:hAnsi="Verdana"/>
          <w:b/>
          <w:sz w:val="18"/>
          <w:szCs w:val="18"/>
        </w:rPr>
      </w:pPr>
    </w:p>
    <w:p w:rsidR="002063E2" w:rsidRPr="004D3DC6" w:rsidRDefault="002063E2" w:rsidP="0097447A">
      <w:pPr>
        <w:spacing w:after="0" w:line="276" w:lineRule="auto"/>
        <w:ind w:left="720" w:right="50"/>
        <w:contextualSpacing/>
        <w:jc w:val="both"/>
        <w:rPr>
          <w:rFonts w:ascii="Verdana" w:hAnsi="Verdana"/>
          <w:sz w:val="18"/>
          <w:szCs w:val="18"/>
        </w:rPr>
      </w:pPr>
      <w:r w:rsidRPr="004D3DC6">
        <w:rPr>
          <w:rFonts w:ascii="Verdana" w:hAnsi="Verdana"/>
          <w:sz w:val="18"/>
          <w:szCs w:val="18"/>
        </w:rPr>
        <w:t xml:space="preserve">Tax regulations can be used to tackle unfair payment behaviour. Two main models have been identified: </w:t>
      </w:r>
    </w:p>
    <w:p w:rsidR="002063E2" w:rsidRPr="004D3DC6" w:rsidRDefault="00256407" w:rsidP="0097447A">
      <w:pPr>
        <w:numPr>
          <w:ilvl w:val="1"/>
          <w:numId w:val="7"/>
        </w:numPr>
        <w:spacing w:after="0" w:line="276" w:lineRule="auto"/>
        <w:ind w:right="50"/>
        <w:contextualSpacing/>
        <w:jc w:val="both"/>
        <w:rPr>
          <w:rFonts w:ascii="Verdana" w:hAnsi="Verdana"/>
          <w:sz w:val="18"/>
          <w:szCs w:val="18"/>
        </w:rPr>
      </w:pPr>
      <w:r>
        <w:rPr>
          <w:noProof/>
        </w:rPr>
        <w:drawing>
          <wp:anchor distT="0" distB="0" distL="114300" distR="114300" simplePos="0" relativeHeight="251666432" behindDoc="0" locked="0" layoutInCell="1" allowOverlap="1">
            <wp:simplePos x="0" y="0"/>
            <wp:positionH relativeFrom="column">
              <wp:posOffset>3957320</wp:posOffset>
            </wp:positionH>
            <wp:positionV relativeFrom="paragraph">
              <wp:posOffset>8255</wp:posOffset>
            </wp:positionV>
            <wp:extent cx="1962150" cy="1485900"/>
            <wp:effectExtent l="0" t="0" r="0" b="0"/>
            <wp:wrapSquare wrapText="bothSides"/>
            <wp:docPr id="12" name="Afbeelding 12" descr="Afbeeldingsresultaat voor tax regul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tax regulatio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62150" cy="1485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063E2" w:rsidRPr="004D3DC6">
        <w:rPr>
          <w:rFonts w:ascii="Verdana" w:hAnsi="Verdana"/>
          <w:sz w:val="18"/>
          <w:szCs w:val="18"/>
        </w:rPr>
        <w:t xml:space="preserve">Tax regimes that indirectly sanction non-compliant businesses by transferring the obligation to pay VAT from the creditor to the debtor (e.g. in Czech Republic), or by preventing the debtor from deducting the VAT in case of an unpaid invoice or violation of the payment periods set out by law (e.g. in Slovenia). </w:t>
      </w:r>
    </w:p>
    <w:p w:rsidR="002063E2" w:rsidRPr="004D3DC6" w:rsidRDefault="002063E2" w:rsidP="0097447A">
      <w:pPr>
        <w:numPr>
          <w:ilvl w:val="1"/>
          <w:numId w:val="7"/>
        </w:numPr>
        <w:spacing w:after="0" w:line="276" w:lineRule="auto"/>
        <w:ind w:right="50"/>
        <w:contextualSpacing/>
        <w:jc w:val="both"/>
        <w:rPr>
          <w:rFonts w:ascii="Verdana" w:hAnsi="Verdana"/>
          <w:sz w:val="18"/>
          <w:szCs w:val="18"/>
        </w:rPr>
      </w:pPr>
      <w:r w:rsidRPr="004D3DC6">
        <w:rPr>
          <w:rFonts w:ascii="Verdana" w:hAnsi="Verdana"/>
          <w:sz w:val="18"/>
          <w:szCs w:val="18"/>
        </w:rPr>
        <w:t>Tax regimes that allow creditors to postpone the payment of VAT until the debtor has fully carried out the monetary obligations or obtained tax adjustments.</w:t>
      </w:r>
    </w:p>
    <w:p w:rsidR="002063E2" w:rsidRPr="004D3DC6" w:rsidRDefault="002063E2" w:rsidP="0097447A">
      <w:pPr>
        <w:spacing w:after="0" w:line="276" w:lineRule="auto"/>
        <w:contextualSpacing/>
        <w:rPr>
          <w:rFonts w:ascii="Verdana" w:hAnsi="Verdana"/>
          <w:b/>
          <w:i/>
          <w:sz w:val="18"/>
          <w:szCs w:val="18"/>
        </w:rPr>
        <w:sectPr w:rsidR="002063E2" w:rsidRPr="004D3DC6" w:rsidSect="00BD1A89">
          <w:pgSz w:w="12240" w:h="15840"/>
          <w:pgMar w:top="1418" w:right="1418" w:bottom="1418" w:left="1418" w:header="709" w:footer="709" w:gutter="0"/>
          <w:cols w:space="708"/>
          <w:titlePg/>
          <w:docGrid w:linePitch="360"/>
        </w:sectPr>
      </w:pPr>
    </w:p>
    <w:p w:rsidR="00B12091" w:rsidRPr="00B12091" w:rsidRDefault="00B12091" w:rsidP="0097447A">
      <w:pPr>
        <w:pStyle w:val="Geenafstand"/>
        <w:spacing w:line="276" w:lineRule="auto"/>
        <w:contextualSpacing/>
        <w:rPr>
          <w:rFonts w:ascii="Verdana" w:hAnsi="Verdana"/>
          <w:sz w:val="16"/>
          <w:szCs w:val="18"/>
          <w:lang w:val="en-GB"/>
        </w:rPr>
      </w:pPr>
      <w:r w:rsidRPr="00B12091">
        <w:rPr>
          <w:rFonts w:ascii="Verdana" w:hAnsi="Verdana"/>
          <w:b/>
          <w:color w:val="4472C4" w:themeColor="accent5"/>
          <w:sz w:val="20"/>
          <w:szCs w:val="18"/>
          <w:lang w:val="en-GB"/>
        </w:rPr>
        <w:lastRenderedPageBreak/>
        <w:t>Part</w:t>
      </w:r>
      <w:r>
        <w:rPr>
          <w:rFonts w:ascii="Verdana" w:hAnsi="Verdana"/>
          <w:b/>
          <w:color w:val="4472C4" w:themeColor="accent5"/>
          <w:sz w:val="20"/>
          <w:szCs w:val="18"/>
          <w:lang w:val="en-GB"/>
        </w:rPr>
        <w:t xml:space="preserve"> 3</w:t>
      </w:r>
      <w:r w:rsidRPr="00B12091">
        <w:rPr>
          <w:rFonts w:ascii="Verdana" w:hAnsi="Verdana"/>
          <w:b/>
          <w:color w:val="4472C4" w:themeColor="accent5"/>
          <w:sz w:val="20"/>
          <w:szCs w:val="18"/>
          <w:lang w:val="en-GB"/>
        </w:rPr>
        <w:t xml:space="preserve">: </w:t>
      </w:r>
      <w:r>
        <w:rPr>
          <w:rFonts w:ascii="Verdana" w:hAnsi="Verdana"/>
          <w:b/>
          <w:color w:val="4472C4" w:themeColor="accent5"/>
          <w:sz w:val="20"/>
          <w:szCs w:val="18"/>
          <w:lang w:val="en-GB"/>
        </w:rPr>
        <w:t>P</w:t>
      </w:r>
      <w:r w:rsidRPr="00B12091">
        <w:rPr>
          <w:rFonts w:ascii="Verdana" w:hAnsi="Verdana"/>
          <w:b/>
          <w:color w:val="4472C4" w:themeColor="accent5"/>
          <w:sz w:val="20"/>
          <w:szCs w:val="18"/>
          <w:lang w:val="en-GB"/>
        </w:rPr>
        <w:t>otential impacts for each of the 15 policy instruments</w:t>
      </w:r>
    </w:p>
    <w:p w:rsidR="00B12091" w:rsidRPr="00B12091" w:rsidRDefault="00B12091" w:rsidP="0097447A">
      <w:pPr>
        <w:spacing w:after="0" w:line="276" w:lineRule="auto"/>
        <w:contextualSpacing/>
      </w:pPr>
    </w:p>
    <w:p w:rsidR="002063E2" w:rsidRPr="00320EF1" w:rsidRDefault="002063E2" w:rsidP="0097447A">
      <w:pPr>
        <w:pStyle w:val="Bijschrift"/>
        <w:keepNext/>
        <w:spacing w:after="0" w:line="276" w:lineRule="auto"/>
        <w:contextualSpacing/>
        <w:jc w:val="center"/>
        <w:rPr>
          <w:rFonts w:ascii="Verdana" w:hAnsi="Verdana"/>
          <w:b/>
          <w:i w:val="0"/>
          <w:color w:val="auto"/>
          <w:sz w:val="16"/>
        </w:rPr>
      </w:pPr>
      <w:r w:rsidRPr="00320EF1">
        <w:rPr>
          <w:rFonts w:ascii="Verdana" w:hAnsi="Verdana"/>
          <w:b/>
          <w:i w:val="0"/>
          <w:color w:val="auto"/>
          <w:sz w:val="16"/>
        </w:rPr>
        <w:t xml:space="preserve">Table </w:t>
      </w:r>
      <w:r w:rsidRPr="00320EF1">
        <w:rPr>
          <w:rFonts w:ascii="Verdana" w:hAnsi="Verdana"/>
          <w:b/>
          <w:i w:val="0"/>
          <w:color w:val="auto"/>
          <w:sz w:val="16"/>
        </w:rPr>
        <w:fldChar w:fldCharType="begin"/>
      </w:r>
      <w:r w:rsidRPr="00320EF1">
        <w:rPr>
          <w:rFonts w:ascii="Verdana" w:hAnsi="Verdana"/>
          <w:b/>
          <w:i w:val="0"/>
          <w:color w:val="auto"/>
          <w:sz w:val="16"/>
        </w:rPr>
        <w:instrText xml:space="preserve"> SEQ Table \* ARABIC </w:instrText>
      </w:r>
      <w:r w:rsidRPr="00320EF1">
        <w:rPr>
          <w:rFonts w:ascii="Verdana" w:hAnsi="Verdana"/>
          <w:b/>
          <w:i w:val="0"/>
          <w:color w:val="auto"/>
          <w:sz w:val="16"/>
        </w:rPr>
        <w:fldChar w:fldCharType="separate"/>
      </w:r>
      <w:r w:rsidR="00AF2698">
        <w:rPr>
          <w:rFonts w:ascii="Verdana" w:hAnsi="Verdana"/>
          <w:b/>
          <w:i w:val="0"/>
          <w:noProof/>
          <w:color w:val="auto"/>
          <w:sz w:val="16"/>
        </w:rPr>
        <w:t>1</w:t>
      </w:r>
      <w:r w:rsidRPr="00320EF1">
        <w:rPr>
          <w:rFonts w:ascii="Verdana" w:hAnsi="Verdana"/>
          <w:b/>
          <w:i w:val="0"/>
          <w:color w:val="auto"/>
          <w:sz w:val="16"/>
        </w:rPr>
        <w:fldChar w:fldCharType="end"/>
      </w:r>
      <w:r w:rsidRPr="00320EF1">
        <w:rPr>
          <w:rFonts w:ascii="Verdana" w:hAnsi="Verdana"/>
          <w:b/>
          <w:i w:val="0"/>
          <w:color w:val="auto"/>
          <w:sz w:val="16"/>
        </w:rPr>
        <w:t xml:space="preserve">: </w:t>
      </w:r>
      <w:r w:rsidR="00DF1A27" w:rsidRPr="00320EF1">
        <w:rPr>
          <w:rFonts w:ascii="Verdana" w:hAnsi="Verdana"/>
          <w:b/>
          <w:i w:val="0"/>
          <w:color w:val="auto"/>
          <w:sz w:val="16"/>
        </w:rPr>
        <w:t>Potential impacts</w:t>
      </w:r>
      <w:r w:rsidRPr="00320EF1">
        <w:rPr>
          <w:rFonts w:ascii="Verdana" w:hAnsi="Verdana"/>
          <w:b/>
          <w:i w:val="0"/>
          <w:color w:val="auto"/>
          <w:sz w:val="16"/>
        </w:rPr>
        <w:t xml:space="preserve"> for each policy instrument</w:t>
      </w:r>
    </w:p>
    <w:tbl>
      <w:tblPr>
        <w:tblStyle w:val="Tabelraster"/>
        <w:tblW w:w="4972" w:type="pct"/>
        <w:jc w:val="right"/>
        <w:tblLook w:val="04A0" w:firstRow="1" w:lastRow="0" w:firstColumn="1" w:lastColumn="0" w:noHBand="0" w:noVBand="1"/>
      </w:tblPr>
      <w:tblGrid>
        <w:gridCol w:w="2692"/>
        <w:gridCol w:w="997"/>
        <w:gridCol w:w="1010"/>
        <w:gridCol w:w="1439"/>
        <w:gridCol w:w="1408"/>
        <w:gridCol w:w="1200"/>
        <w:gridCol w:w="1523"/>
        <w:gridCol w:w="1238"/>
        <w:gridCol w:w="1414"/>
      </w:tblGrid>
      <w:tr w:rsidR="002063E2" w:rsidRPr="004D3DC6" w:rsidTr="00D84DC9">
        <w:trPr>
          <w:jc w:val="right"/>
        </w:trPr>
        <w:tc>
          <w:tcPr>
            <w:tcW w:w="1042" w:type="pct"/>
          </w:tcPr>
          <w:p w:rsidR="002063E2" w:rsidRPr="004D3DC6" w:rsidRDefault="002063E2" w:rsidP="0097447A">
            <w:pPr>
              <w:spacing w:line="276" w:lineRule="auto"/>
              <w:contextualSpacing/>
              <w:jc w:val="center"/>
              <w:rPr>
                <w:rFonts w:ascii="Verdana" w:hAnsi="Verdana"/>
                <w:sz w:val="18"/>
                <w:szCs w:val="18"/>
              </w:rPr>
            </w:pPr>
          </w:p>
        </w:tc>
        <w:tc>
          <w:tcPr>
            <w:tcW w:w="386" w:type="pct"/>
            <w:vAlign w:val="center"/>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Do nothing</w:t>
            </w:r>
          </w:p>
        </w:tc>
        <w:tc>
          <w:tcPr>
            <w:tcW w:w="391" w:type="pct"/>
            <w:vAlign w:val="center"/>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Stricter payment terms</w:t>
            </w:r>
          </w:p>
        </w:tc>
        <w:tc>
          <w:tcPr>
            <w:tcW w:w="557" w:type="pct"/>
            <w:vAlign w:val="center"/>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Transparency of payment practices</w:t>
            </w:r>
          </w:p>
        </w:tc>
        <w:tc>
          <w:tcPr>
            <w:tcW w:w="545" w:type="pct"/>
            <w:vAlign w:val="center"/>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Invoice management measures</w:t>
            </w:r>
          </w:p>
        </w:tc>
        <w:tc>
          <w:tcPr>
            <w:tcW w:w="464" w:type="pct"/>
            <w:vAlign w:val="center"/>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Alternative Dispute Resolution System</w:t>
            </w:r>
          </w:p>
        </w:tc>
        <w:tc>
          <w:tcPr>
            <w:tcW w:w="589" w:type="pct"/>
            <w:vAlign w:val="center"/>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Administrative sanctions</w:t>
            </w:r>
          </w:p>
        </w:tc>
        <w:tc>
          <w:tcPr>
            <w:tcW w:w="479" w:type="pct"/>
            <w:vAlign w:val="center"/>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Prompt payment codes</w:t>
            </w:r>
          </w:p>
        </w:tc>
        <w:tc>
          <w:tcPr>
            <w:tcW w:w="547" w:type="pct"/>
            <w:vAlign w:val="center"/>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Corporate social responsibility</w:t>
            </w:r>
          </w:p>
        </w:tc>
      </w:tr>
      <w:tr w:rsidR="00D84DC9" w:rsidRPr="004D3DC6" w:rsidTr="00D84DC9">
        <w:trPr>
          <w:jc w:val="right"/>
        </w:trPr>
        <w:tc>
          <w:tcPr>
            <w:tcW w:w="5000" w:type="pct"/>
            <w:gridSpan w:val="9"/>
            <w:shd w:val="clear" w:color="auto" w:fill="D9D9D9" w:themeFill="background1" w:themeFillShade="D9"/>
          </w:tcPr>
          <w:p w:rsidR="00D84DC9" w:rsidRPr="004D3DC6" w:rsidRDefault="00D84DC9" w:rsidP="0097447A">
            <w:pPr>
              <w:spacing w:line="276" w:lineRule="auto"/>
              <w:contextualSpacing/>
              <w:rPr>
                <w:rFonts w:ascii="Verdana" w:hAnsi="Verdana"/>
                <w:sz w:val="18"/>
                <w:szCs w:val="18"/>
              </w:rPr>
            </w:pPr>
            <w:r w:rsidRPr="004D3DC6">
              <w:rPr>
                <w:rFonts w:ascii="Verdana" w:hAnsi="Verdana"/>
                <w:b/>
                <w:sz w:val="18"/>
                <w:szCs w:val="18"/>
              </w:rPr>
              <w:t>Society</w:t>
            </w:r>
          </w:p>
        </w:tc>
      </w:tr>
      <w:tr w:rsidR="002063E2" w:rsidRPr="004D3DC6" w:rsidTr="00D84DC9">
        <w:trPr>
          <w:jc w:val="right"/>
        </w:trPr>
        <w:tc>
          <w:tcPr>
            <w:tcW w:w="1042" w:type="pct"/>
          </w:tcPr>
          <w:p w:rsidR="002063E2" w:rsidRPr="004D3DC6" w:rsidRDefault="002063E2" w:rsidP="0097447A">
            <w:pPr>
              <w:spacing w:line="276" w:lineRule="auto"/>
              <w:contextualSpacing/>
              <w:rPr>
                <w:rFonts w:ascii="Verdana" w:hAnsi="Verdana"/>
                <w:sz w:val="18"/>
                <w:szCs w:val="18"/>
              </w:rPr>
            </w:pPr>
            <w:r w:rsidRPr="004D3DC6">
              <w:rPr>
                <w:rFonts w:ascii="Verdana" w:hAnsi="Verdana"/>
                <w:sz w:val="18"/>
                <w:szCs w:val="18"/>
              </w:rPr>
              <w:t>Employment, investment, economic growth</w:t>
            </w:r>
          </w:p>
        </w:tc>
        <w:tc>
          <w:tcPr>
            <w:tcW w:w="386" w:type="pct"/>
          </w:tcPr>
          <w:p w:rsidR="002063E2" w:rsidRPr="004D3DC6" w:rsidRDefault="002063E2" w:rsidP="0097447A">
            <w:pPr>
              <w:spacing w:line="276" w:lineRule="auto"/>
              <w:contextualSpacing/>
              <w:jc w:val="center"/>
              <w:rPr>
                <w:rFonts w:ascii="Verdana" w:hAnsi="Verdana"/>
                <w:sz w:val="18"/>
                <w:szCs w:val="18"/>
              </w:rPr>
            </w:pPr>
          </w:p>
        </w:tc>
        <w:tc>
          <w:tcPr>
            <w:tcW w:w="391" w:type="pct"/>
            <w:vAlign w:val="center"/>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557" w:type="pct"/>
            <w:vAlign w:val="center"/>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545" w:type="pct"/>
            <w:vAlign w:val="center"/>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64" w:type="pct"/>
            <w:vAlign w:val="center"/>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589" w:type="pct"/>
            <w:vAlign w:val="center"/>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79" w:type="pct"/>
            <w:vAlign w:val="center"/>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547" w:type="pct"/>
            <w:vAlign w:val="center"/>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r>
      <w:tr w:rsidR="00D84DC9" w:rsidRPr="004D3DC6" w:rsidTr="00D84DC9">
        <w:trPr>
          <w:jc w:val="right"/>
        </w:trPr>
        <w:tc>
          <w:tcPr>
            <w:tcW w:w="5000" w:type="pct"/>
            <w:gridSpan w:val="9"/>
            <w:shd w:val="clear" w:color="auto" w:fill="D9D9D9" w:themeFill="background1" w:themeFillShade="D9"/>
          </w:tcPr>
          <w:p w:rsidR="00D84DC9" w:rsidRPr="004D3DC6" w:rsidRDefault="00D84DC9" w:rsidP="0097447A">
            <w:pPr>
              <w:spacing w:line="276" w:lineRule="auto"/>
              <w:contextualSpacing/>
              <w:rPr>
                <w:rFonts w:ascii="Verdana" w:hAnsi="Verdana"/>
                <w:sz w:val="18"/>
                <w:szCs w:val="18"/>
              </w:rPr>
            </w:pPr>
            <w:r w:rsidRPr="004D3DC6">
              <w:rPr>
                <w:rFonts w:ascii="Verdana" w:hAnsi="Verdana"/>
                <w:b/>
                <w:sz w:val="18"/>
                <w:szCs w:val="18"/>
              </w:rPr>
              <w:t>Markets</w:t>
            </w:r>
          </w:p>
        </w:tc>
      </w:tr>
      <w:tr w:rsidR="002063E2" w:rsidRPr="004D3DC6" w:rsidTr="00D84DC9">
        <w:trPr>
          <w:jc w:val="right"/>
        </w:trPr>
        <w:tc>
          <w:tcPr>
            <w:tcW w:w="1042" w:type="pct"/>
          </w:tcPr>
          <w:p w:rsidR="002063E2" w:rsidRPr="004D3DC6" w:rsidRDefault="002063E2" w:rsidP="0097447A">
            <w:pPr>
              <w:spacing w:line="276" w:lineRule="auto"/>
              <w:contextualSpacing/>
              <w:rPr>
                <w:rFonts w:ascii="Verdana" w:hAnsi="Verdana"/>
                <w:sz w:val="18"/>
                <w:szCs w:val="18"/>
              </w:rPr>
            </w:pPr>
            <w:r w:rsidRPr="004D3DC6">
              <w:rPr>
                <w:rFonts w:ascii="Verdana" w:hAnsi="Verdana"/>
                <w:sz w:val="18"/>
                <w:szCs w:val="18"/>
              </w:rPr>
              <w:t>Trust</w:t>
            </w:r>
          </w:p>
        </w:tc>
        <w:tc>
          <w:tcPr>
            <w:tcW w:w="386" w:type="pct"/>
          </w:tcPr>
          <w:p w:rsidR="002063E2" w:rsidRPr="004D3DC6" w:rsidRDefault="002063E2" w:rsidP="0097447A">
            <w:pPr>
              <w:spacing w:line="276" w:lineRule="auto"/>
              <w:contextualSpacing/>
              <w:jc w:val="center"/>
              <w:rPr>
                <w:rFonts w:ascii="Verdana" w:hAnsi="Verdana"/>
                <w:sz w:val="18"/>
                <w:szCs w:val="18"/>
              </w:rPr>
            </w:pPr>
          </w:p>
        </w:tc>
        <w:tc>
          <w:tcPr>
            <w:tcW w:w="391"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557"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545"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64"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589"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79"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547"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r>
      <w:tr w:rsidR="00D84DC9" w:rsidRPr="004D3DC6" w:rsidTr="00D84DC9">
        <w:trPr>
          <w:jc w:val="right"/>
        </w:trPr>
        <w:tc>
          <w:tcPr>
            <w:tcW w:w="5000" w:type="pct"/>
            <w:gridSpan w:val="9"/>
            <w:shd w:val="clear" w:color="auto" w:fill="D9D9D9" w:themeFill="background1" w:themeFillShade="D9"/>
          </w:tcPr>
          <w:p w:rsidR="00D84DC9" w:rsidRPr="004D3DC6" w:rsidRDefault="00D84DC9" w:rsidP="0097447A">
            <w:pPr>
              <w:spacing w:line="276" w:lineRule="auto"/>
              <w:contextualSpacing/>
              <w:rPr>
                <w:rFonts w:ascii="Verdana" w:hAnsi="Verdana"/>
                <w:sz w:val="18"/>
                <w:szCs w:val="18"/>
              </w:rPr>
            </w:pPr>
            <w:r w:rsidRPr="004D3DC6">
              <w:rPr>
                <w:rFonts w:ascii="Verdana" w:hAnsi="Verdana"/>
                <w:b/>
                <w:sz w:val="18"/>
                <w:szCs w:val="18"/>
              </w:rPr>
              <w:t>Companies</w:t>
            </w:r>
          </w:p>
        </w:tc>
      </w:tr>
      <w:tr w:rsidR="002063E2" w:rsidRPr="004D3DC6" w:rsidTr="00D84DC9">
        <w:trPr>
          <w:jc w:val="right"/>
        </w:trPr>
        <w:tc>
          <w:tcPr>
            <w:tcW w:w="1042" w:type="pct"/>
          </w:tcPr>
          <w:p w:rsidR="002063E2" w:rsidRPr="004D3DC6" w:rsidRDefault="002063E2" w:rsidP="0097447A">
            <w:pPr>
              <w:spacing w:line="276" w:lineRule="auto"/>
              <w:contextualSpacing/>
              <w:rPr>
                <w:rFonts w:ascii="Verdana" w:hAnsi="Verdana"/>
                <w:sz w:val="18"/>
                <w:szCs w:val="18"/>
              </w:rPr>
            </w:pPr>
            <w:r w:rsidRPr="004D3DC6">
              <w:rPr>
                <w:rFonts w:ascii="Verdana" w:hAnsi="Verdana"/>
                <w:sz w:val="18"/>
                <w:szCs w:val="18"/>
              </w:rPr>
              <w:t>Information costs</w:t>
            </w:r>
          </w:p>
        </w:tc>
        <w:tc>
          <w:tcPr>
            <w:tcW w:w="386" w:type="pct"/>
          </w:tcPr>
          <w:p w:rsidR="002063E2" w:rsidRPr="004D3DC6" w:rsidRDefault="002063E2" w:rsidP="0097447A">
            <w:pPr>
              <w:spacing w:line="276" w:lineRule="auto"/>
              <w:contextualSpacing/>
              <w:jc w:val="center"/>
              <w:rPr>
                <w:rFonts w:ascii="Verdana" w:hAnsi="Verdana"/>
                <w:sz w:val="18"/>
                <w:szCs w:val="18"/>
              </w:rPr>
            </w:pPr>
          </w:p>
        </w:tc>
        <w:tc>
          <w:tcPr>
            <w:tcW w:w="391" w:type="pct"/>
          </w:tcPr>
          <w:p w:rsidR="002063E2" w:rsidRPr="004D3DC6" w:rsidRDefault="002063E2" w:rsidP="0097447A">
            <w:pPr>
              <w:spacing w:line="276" w:lineRule="auto"/>
              <w:contextualSpacing/>
              <w:jc w:val="center"/>
              <w:rPr>
                <w:rFonts w:ascii="Verdana" w:hAnsi="Verdana"/>
                <w:sz w:val="18"/>
                <w:szCs w:val="18"/>
              </w:rPr>
            </w:pPr>
          </w:p>
        </w:tc>
        <w:tc>
          <w:tcPr>
            <w:tcW w:w="557"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545"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64"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589" w:type="pct"/>
          </w:tcPr>
          <w:p w:rsidR="002063E2" w:rsidRPr="004D3DC6" w:rsidRDefault="002063E2" w:rsidP="0097447A">
            <w:pPr>
              <w:spacing w:line="276" w:lineRule="auto"/>
              <w:contextualSpacing/>
              <w:jc w:val="center"/>
              <w:rPr>
                <w:rFonts w:ascii="Verdana" w:hAnsi="Verdana"/>
                <w:sz w:val="18"/>
                <w:szCs w:val="18"/>
              </w:rPr>
            </w:pPr>
          </w:p>
        </w:tc>
        <w:tc>
          <w:tcPr>
            <w:tcW w:w="479"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547"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r>
      <w:tr w:rsidR="002063E2" w:rsidRPr="004D3DC6" w:rsidTr="00D84DC9">
        <w:trPr>
          <w:jc w:val="right"/>
        </w:trPr>
        <w:tc>
          <w:tcPr>
            <w:tcW w:w="1042" w:type="pct"/>
          </w:tcPr>
          <w:p w:rsidR="002063E2" w:rsidRPr="004D3DC6" w:rsidRDefault="002063E2" w:rsidP="0097447A">
            <w:pPr>
              <w:spacing w:line="276" w:lineRule="auto"/>
              <w:contextualSpacing/>
              <w:rPr>
                <w:rFonts w:ascii="Verdana" w:hAnsi="Verdana"/>
                <w:sz w:val="18"/>
                <w:szCs w:val="18"/>
              </w:rPr>
            </w:pPr>
            <w:r w:rsidRPr="004D3DC6">
              <w:rPr>
                <w:rFonts w:ascii="Verdana" w:hAnsi="Verdana"/>
                <w:sz w:val="18"/>
                <w:szCs w:val="18"/>
              </w:rPr>
              <w:t>Compliance costs</w:t>
            </w:r>
          </w:p>
        </w:tc>
        <w:tc>
          <w:tcPr>
            <w:tcW w:w="386" w:type="pct"/>
          </w:tcPr>
          <w:p w:rsidR="002063E2" w:rsidRPr="004D3DC6" w:rsidRDefault="002063E2" w:rsidP="0097447A">
            <w:pPr>
              <w:spacing w:line="276" w:lineRule="auto"/>
              <w:contextualSpacing/>
              <w:jc w:val="center"/>
              <w:rPr>
                <w:rFonts w:ascii="Verdana" w:hAnsi="Verdana"/>
                <w:sz w:val="18"/>
                <w:szCs w:val="18"/>
              </w:rPr>
            </w:pPr>
          </w:p>
        </w:tc>
        <w:tc>
          <w:tcPr>
            <w:tcW w:w="391" w:type="pct"/>
          </w:tcPr>
          <w:p w:rsidR="002063E2" w:rsidRPr="004D3DC6" w:rsidRDefault="002063E2" w:rsidP="0097447A">
            <w:pPr>
              <w:spacing w:line="276" w:lineRule="auto"/>
              <w:contextualSpacing/>
              <w:jc w:val="center"/>
              <w:rPr>
                <w:rFonts w:ascii="Verdana" w:hAnsi="Verdana"/>
                <w:sz w:val="18"/>
                <w:szCs w:val="18"/>
              </w:rPr>
            </w:pPr>
          </w:p>
        </w:tc>
        <w:tc>
          <w:tcPr>
            <w:tcW w:w="557" w:type="pct"/>
          </w:tcPr>
          <w:p w:rsidR="002063E2" w:rsidRPr="004D3DC6" w:rsidRDefault="002063E2" w:rsidP="0097447A">
            <w:pPr>
              <w:spacing w:line="276" w:lineRule="auto"/>
              <w:contextualSpacing/>
              <w:jc w:val="center"/>
              <w:rPr>
                <w:rFonts w:ascii="Verdana" w:hAnsi="Verdana"/>
                <w:sz w:val="18"/>
                <w:szCs w:val="18"/>
              </w:rPr>
            </w:pPr>
          </w:p>
        </w:tc>
        <w:tc>
          <w:tcPr>
            <w:tcW w:w="545" w:type="pct"/>
          </w:tcPr>
          <w:p w:rsidR="002063E2" w:rsidRPr="004D3DC6" w:rsidRDefault="002063E2" w:rsidP="0097447A">
            <w:pPr>
              <w:spacing w:line="276" w:lineRule="auto"/>
              <w:contextualSpacing/>
              <w:jc w:val="center"/>
              <w:rPr>
                <w:rFonts w:ascii="Verdana" w:hAnsi="Verdana"/>
                <w:sz w:val="18"/>
                <w:szCs w:val="18"/>
              </w:rPr>
            </w:pPr>
          </w:p>
        </w:tc>
        <w:tc>
          <w:tcPr>
            <w:tcW w:w="464" w:type="pct"/>
          </w:tcPr>
          <w:p w:rsidR="002063E2" w:rsidRPr="004D3DC6" w:rsidRDefault="002063E2" w:rsidP="0097447A">
            <w:pPr>
              <w:spacing w:line="276" w:lineRule="auto"/>
              <w:contextualSpacing/>
              <w:jc w:val="center"/>
              <w:rPr>
                <w:rFonts w:ascii="Verdana" w:hAnsi="Verdana"/>
                <w:sz w:val="18"/>
                <w:szCs w:val="18"/>
              </w:rPr>
            </w:pPr>
          </w:p>
        </w:tc>
        <w:tc>
          <w:tcPr>
            <w:tcW w:w="589" w:type="pct"/>
          </w:tcPr>
          <w:p w:rsidR="002063E2" w:rsidRPr="004D3DC6" w:rsidRDefault="002063E2" w:rsidP="0097447A">
            <w:pPr>
              <w:spacing w:line="276" w:lineRule="auto"/>
              <w:contextualSpacing/>
              <w:jc w:val="center"/>
              <w:rPr>
                <w:rFonts w:ascii="Verdana" w:hAnsi="Verdana"/>
                <w:sz w:val="18"/>
                <w:szCs w:val="18"/>
              </w:rPr>
            </w:pPr>
          </w:p>
        </w:tc>
        <w:tc>
          <w:tcPr>
            <w:tcW w:w="479" w:type="pct"/>
          </w:tcPr>
          <w:p w:rsidR="002063E2" w:rsidRPr="004D3DC6" w:rsidRDefault="002063E2" w:rsidP="0097447A">
            <w:pPr>
              <w:spacing w:line="276" w:lineRule="auto"/>
              <w:contextualSpacing/>
              <w:jc w:val="center"/>
              <w:rPr>
                <w:rFonts w:ascii="Verdana" w:hAnsi="Verdana"/>
                <w:sz w:val="18"/>
                <w:szCs w:val="18"/>
              </w:rPr>
            </w:pPr>
          </w:p>
        </w:tc>
        <w:tc>
          <w:tcPr>
            <w:tcW w:w="547" w:type="pct"/>
          </w:tcPr>
          <w:p w:rsidR="002063E2" w:rsidRPr="004D3DC6" w:rsidRDefault="002063E2" w:rsidP="0097447A">
            <w:pPr>
              <w:spacing w:line="276" w:lineRule="auto"/>
              <w:contextualSpacing/>
              <w:jc w:val="center"/>
              <w:rPr>
                <w:rFonts w:ascii="Verdana" w:hAnsi="Verdana"/>
                <w:sz w:val="18"/>
                <w:szCs w:val="18"/>
              </w:rPr>
            </w:pPr>
          </w:p>
        </w:tc>
      </w:tr>
      <w:tr w:rsidR="002063E2" w:rsidRPr="004D3DC6" w:rsidTr="00D84DC9">
        <w:trPr>
          <w:jc w:val="right"/>
        </w:trPr>
        <w:tc>
          <w:tcPr>
            <w:tcW w:w="1042" w:type="pct"/>
          </w:tcPr>
          <w:p w:rsidR="002063E2" w:rsidRPr="004D3DC6" w:rsidRDefault="002063E2" w:rsidP="0097447A">
            <w:pPr>
              <w:spacing w:line="276" w:lineRule="auto"/>
              <w:ind w:left="171"/>
              <w:contextualSpacing/>
              <w:rPr>
                <w:rFonts w:ascii="Verdana" w:hAnsi="Verdana"/>
                <w:i/>
                <w:sz w:val="18"/>
                <w:szCs w:val="18"/>
              </w:rPr>
            </w:pPr>
            <w:r w:rsidRPr="004D3DC6">
              <w:rPr>
                <w:rFonts w:ascii="Verdana" w:hAnsi="Verdana"/>
                <w:i/>
                <w:sz w:val="18"/>
                <w:szCs w:val="18"/>
              </w:rPr>
              <w:t>Administrative burdens</w:t>
            </w:r>
          </w:p>
        </w:tc>
        <w:tc>
          <w:tcPr>
            <w:tcW w:w="386" w:type="pct"/>
          </w:tcPr>
          <w:p w:rsidR="002063E2" w:rsidRPr="004D3DC6" w:rsidRDefault="002063E2" w:rsidP="0097447A">
            <w:pPr>
              <w:spacing w:line="276" w:lineRule="auto"/>
              <w:contextualSpacing/>
              <w:jc w:val="center"/>
              <w:rPr>
                <w:rFonts w:ascii="Verdana" w:hAnsi="Verdana"/>
                <w:sz w:val="18"/>
                <w:szCs w:val="18"/>
              </w:rPr>
            </w:pPr>
          </w:p>
        </w:tc>
        <w:tc>
          <w:tcPr>
            <w:tcW w:w="391"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557"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545"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64" w:type="pct"/>
          </w:tcPr>
          <w:p w:rsidR="002063E2" w:rsidRPr="004D3DC6" w:rsidRDefault="002063E2" w:rsidP="0097447A">
            <w:pPr>
              <w:spacing w:line="276" w:lineRule="auto"/>
              <w:contextualSpacing/>
              <w:jc w:val="center"/>
              <w:rPr>
                <w:rFonts w:ascii="Verdana" w:hAnsi="Verdana"/>
                <w:sz w:val="18"/>
                <w:szCs w:val="18"/>
              </w:rPr>
            </w:pPr>
          </w:p>
        </w:tc>
        <w:tc>
          <w:tcPr>
            <w:tcW w:w="589" w:type="pct"/>
          </w:tcPr>
          <w:p w:rsidR="002063E2" w:rsidRPr="004D3DC6" w:rsidRDefault="002063E2" w:rsidP="0097447A">
            <w:pPr>
              <w:spacing w:line="276" w:lineRule="auto"/>
              <w:contextualSpacing/>
              <w:jc w:val="center"/>
              <w:rPr>
                <w:rFonts w:ascii="Verdana" w:hAnsi="Verdana"/>
                <w:sz w:val="18"/>
                <w:szCs w:val="18"/>
              </w:rPr>
            </w:pPr>
          </w:p>
        </w:tc>
        <w:tc>
          <w:tcPr>
            <w:tcW w:w="479" w:type="pct"/>
          </w:tcPr>
          <w:p w:rsidR="002063E2" w:rsidRPr="004D3DC6" w:rsidRDefault="002063E2" w:rsidP="0097447A">
            <w:pPr>
              <w:spacing w:line="276" w:lineRule="auto"/>
              <w:contextualSpacing/>
              <w:jc w:val="center"/>
              <w:rPr>
                <w:rFonts w:ascii="Verdana" w:hAnsi="Verdana"/>
                <w:sz w:val="18"/>
                <w:szCs w:val="18"/>
              </w:rPr>
            </w:pPr>
          </w:p>
        </w:tc>
        <w:tc>
          <w:tcPr>
            <w:tcW w:w="547" w:type="pct"/>
          </w:tcPr>
          <w:p w:rsidR="002063E2" w:rsidRPr="004D3DC6" w:rsidRDefault="002063E2" w:rsidP="0097447A">
            <w:pPr>
              <w:spacing w:line="276" w:lineRule="auto"/>
              <w:contextualSpacing/>
              <w:jc w:val="center"/>
              <w:rPr>
                <w:rFonts w:ascii="Verdana" w:hAnsi="Verdana"/>
                <w:sz w:val="18"/>
                <w:szCs w:val="18"/>
              </w:rPr>
            </w:pPr>
          </w:p>
        </w:tc>
      </w:tr>
      <w:tr w:rsidR="002063E2" w:rsidRPr="004D3DC6" w:rsidTr="00D84DC9">
        <w:trPr>
          <w:jc w:val="right"/>
        </w:trPr>
        <w:tc>
          <w:tcPr>
            <w:tcW w:w="1042" w:type="pct"/>
          </w:tcPr>
          <w:p w:rsidR="002063E2" w:rsidRPr="004D3DC6" w:rsidRDefault="002063E2" w:rsidP="0097447A">
            <w:pPr>
              <w:spacing w:line="276" w:lineRule="auto"/>
              <w:ind w:left="171"/>
              <w:contextualSpacing/>
              <w:rPr>
                <w:rFonts w:ascii="Verdana" w:hAnsi="Verdana"/>
                <w:i/>
                <w:sz w:val="18"/>
                <w:szCs w:val="18"/>
              </w:rPr>
            </w:pPr>
            <w:r w:rsidRPr="004D3DC6">
              <w:rPr>
                <w:rFonts w:ascii="Verdana" w:hAnsi="Verdana"/>
                <w:i/>
                <w:sz w:val="18"/>
                <w:szCs w:val="18"/>
              </w:rPr>
              <w:t>Start-up or one-off costs</w:t>
            </w:r>
          </w:p>
        </w:tc>
        <w:tc>
          <w:tcPr>
            <w:tcW w:w="386" w:type="pct"/>
          </w:tcPr>
          <w:p w:rsidR="002063E2" w:rsidRPr="004D3DC6" w:rsidRDefault="002063E2" w:rsidP="0097447A">
            <w:pPr>
              <w:spacing w:line="276" w:lineRule="auto"/>
              <w:contextualSpacing/>
              <w:jc w:val="center"/>
              <w:rPr>
                <w:rFonts w:ascii="Verdana" w:hAnsi="Verdana"/>
                <w:sz w:val="18"/>
                <w:szCs w:val="18"/>
              </w:rPr>
            </w:pPr>
          </w:p>
        </w:tc>
        <w:tc>
          <w:tcPr>
            <w:tcW w:w="391" w:type="pct"/>
          </w:tcPr>
          <w:p w:rsidR="002063E2" w:rsidRPr="004D3DC6" w:rsidRDefault="002063E2" w:rsidP="0097447A">
            <w:pPr>
              <w:spacing w:line="276" w:lineRule="auto"/>
              <w:contextualSpacing/>
              <w:jc w:val="center"/>
              <w:rPr>
                <w:rFonts w:ascii="Verdana" w:hAnsi="Verdana"/>
                <w:sz w:val="18"/>
                <w:szCs w:val="18"/>
              </w:rPr>
            </w:pPr>
          </w:p>
        </w:tc>
        <w:tc>
          <w:tcPr>
            <w:tcW w:w="557" w:type="pct"/>
          </w:tcPr>
          <w:p w:rsidR="002063E2" w:rsidRPr="004D3DC6" w:rsidRDefault="002063E2" w:rsidP="0097447A">
            <w:pPr>
              <w:spacing w:line="276" w:lineRule="auto"/>
              <w:contextualSpacing/>
              <w:jc w:val="center"/>
              <w:rPr>
                <w:rFonts w:ascii="Verdana" w:hAnsi="Verdana"/>
                <w:sz w:val="18"/>
                <w:szCs w:val="18"/>
              </w:rPr>
            </w:pPr>
          </w:p>
        </w:tc>
        <w:tc>
          <w:tcPr>
            <w:tcW w:w="545"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64" w:type="pct"/>
          </w:tcPr>
          <w:p w:rsidR="002063E2" w:rsidRPr="004D3DC6" w:rsidRDefault="002063E2" w:rsidP="0097447A">
            <w:pPr>
              <w:spacing w:line="276" w:lineRule="auto"/>
              <w:contextualSpacing/>
              <w:jc w:val="center"/>
              <w:rPr>
                <w:rFonts w:ascii="Verdana" w:hAnsi="Verdana"/>
                <w:sz w:val="18"/>
                <w:szCs w:val="18"/>
              </w:rPr>
            </w:pPr>
          </w:p>
        </w:tc>
        <w:tc>
          <w:tcPr>
            <w:tcW w:w="589" w:type="pct"/>
          </w:tcPr>
          <w:p w:rsidR="002063E2" w:rsidRPr="004D3DC6" w:rsidRDefault="002063E2" w:rsidP="0097447A">
            <w:pPr>
              <w:spacing w:line="276" w:lineRule="auto"/>
              <w:contextualSpacing/>
              <w:jc w:val="center"/>
              <w:rPr>
                <w:rFonts w:ascii="Verdana" w:hAnsi="Verdana"/>
                <w:sz w:val="18"/>
                <w:szCs w:val="18"/>
              </w:rPr>
            </w:pPr>
          </w:p>
        </w:tc>
        <w:tc>
          <w:tcPr>
            <w:tcW w:w="479" w:type="pct"/>
          </w:tcPr>
          <w:p w:rsidR="002063E2" w:rsidRPr="004D3DC6" w:rsidRDefault="002063E2" w:rsidP="0097447A">
            <w:pPr>
              <w:spacing w:line="276" w:lineRule="auto"/>
              <w:contextualSpacing/>
              <w:jc w:val="center"/>
              <w:rPr>
                <w:rFonts w:ascii="Verdana" w:hAnsi="Verdana"/>
                <w:sz w:val="18"/>
                <w:szCs w:val="18"/>
              </w:rPr>
            </w:pPr>
          </w:p>
        </w:tc>
        <w:tc>
          <w:tcPr>
            <w:tcW w:w="547" w:type="pct"/>
          </w:tcPr>
          <w:p w:rsidR="002063E2" w:rsidRPr="004D3DC6" w:rsidRDefault="002063E2" w:rsidP="0097447A">
            <w:pPr>
              <w:spacing w:line="276" w:lineRule="auto"/>
              <w:contextualSpacing/>
              <w:jc w:val="center"/>
              <w:rPr>
                <w:rFonts w:ascii="Verdana" w:hAnsi="Verdana"/>
                <w:sz w:val="18"/>
                <w:szCs w:val="18"/>
              </w:rPr>
            </w:pPr>
          </w:p>
        </w:tc>
      </w:tr>
      <w:tr w:rsidR="002063E2" w:rsidRPr="004D3DC6" w:rsidTr="00D84DC9">
        <w:trPr>
          <w:jc w:val="right"/>
        </w:trPr>
        <w:tc>
          <w:tcPr>
            <w:tcW w:w="1042" w:type="pct"/>
          </w:tcPr>
          <w:p w:rsidR="002063E2" w:rsidRPr="004D3DC6" w:rsidRDefault="002063E2" w:rsidP="0097447A">
            <w:pPr>
              <w:spacing w:line="276" w:lineRule="auto"/>
              <w:ind w:left="171"/>
              <w:contextualSpacing/>
              <w:rPr>
                <w:rFonts w:ascii="Verdana" w:hAnsi="Verdana"/>
                <w:i/>
                <w:sz w:val="18"/>
                <w:szCs w:val="18"/>
              </w:rPr>
            </w:pPr>
            <w:r w:rsidRPr="004D3DC6">
              <w:rPr>
                <w:rFonts w:ascii="Verdana" w:hAnsi="Verdana"/>
                <w:i/>
                <w:sz w:val="18"/>
                <w:szCs w:val="18"/>
              </w:rPr>
              <w:t>Operational or recurring costs</w:t>
            </w:r>
          </w:p>
        </w:tc>
        <w:tc>
          <w:tcPr>
            <w:tcW w:w="386" w:type="pct"/>
          </w:tcPr>
          <w:p w:rsidR="002063E2" w:rsidRPr="004D3DC6" w:rsidRDefault="002063E2" w:rsidP="0097447A">
            <w:pPr>
              <w:spacing w:line="276" w:lineRule="auto"/>
              <w:contextualSpacing/>
              <w:jc w:val="center"/>
              <w:rPr>
                <w:rFonts w:ascii="Verdana" w:hAnsi="Verdana"/>
                <w:sz w:val="18"/>
                <w:szCs w:val="18"/>
              </w:rPr>
            </w:pPr>
          </w:p>
        </w:tc>
        <w:tc>
          <w:tcPr>
            <w:tcW w:w="391" w:type="pct"/>
          </w:tcPr>
          <w:p w:rsidR="002063E2" w:rsidRPr="004D3DC6" w:rsidRDefault="002063E2" w:rsidP="0097447A">
            <w:pPr>
              <w:spacing w:line="276" w:lineRule="auto"/>
              <w:contextualSpacing/>
              <w:jc w:val="center"/>
              <w:rPr>
                <w:rFonts w:ascii="Verdana" w:hAnsi="Verdana"/>
                <w:sz w:val="18"/>
                <w:szCs w:val="18"/>
              </w:rPr>
            </w:pPr>
          </w:p>
        </w:tc>
        <w:tc>
          <w:tcPr>
            <w:tcW w:w="557" w:type="pct"/>
          </w:tcPr>
          <w:p w:rsidR="002063E2" w:rsidRPr="004D3DC6" w:rsidRDefault="002063E2" w:rsidP="0097447A">
            <w:pPr>
              <w:spacing w:line="276" w:lineRule="auto"/>
              <w:contextualSpacing/>
              <w:jc w:val="center"/>
              <w:rPr>
                <w:rFonts w:ascii="Verdana" w:hAnsi="Verdana"/>
                <w:sz w:val="18"/>
                <w:szCs w:val="18"/>
              </w:rPr>
            </w:pPr>
          </w:p>
        </w:tc>
        <w:tc>
          <w:tcPr>
            <w:tcW w:w="545"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64" w:type="pct"/>
          </w:tcPr>
          <w:p w:rsidR="002063E2" w:rsidRPr="004D3DC6" w:rsidRDefault="002063E2" w:rsidP="0097447A">
            <w:pPr>
              <w:spacing w:line="276" w:lineRule="auto"/>
              <w:contextualSpacing/>
              <w:jc w:val="center"/>
              <w:rPr>
                <w:rFonts w:ascii="Verdana" w:hAnsi="Verdana"/>
                <w:sz w:val="18"/>
                <w:szCs w:val="18"/>
              </w:rPr>
            </w:pPr>
          </w:p>
        </w:tc>
        <w:tc>
          <w:tcPr>
            <w:tcW w:w="589" w:type="pct"/>
          </w:tcPr>
          <w:p w:rsidR="002063E2" w:rsidRPr="004D3DC6" w:rsidRDefault="002063E2" w:rsidP="0097447A">
            <w:pPr>
              <w:spacing w:line="276" w:lineRule="auto"/>
              <w:contextualSpacing/>
              <w:jc w:val="center"/>
              <w:rPr>
                <w:rFonts w:ascii="Verdana" w:hAnsi="Verdana"/>
                <w:sz w:val="18"/>
                <w:szCs w:val="18"/>
              </w:rPr>
            </w:pPr>
          </w:p>
        </w:tc>
        <w:tc>
          <w:tcPr>
            <w:tcW w:w="479" w:type="pct"/>
          </w:tcPr>
          <w:p w:rsidR="002063E2" w:rsidRPr="004D3DC6" w:rsidRDefault="002063E2" w:rsidP="0097447A">
            <w:pPr>
              <w:spacing w:line="276" w:lineRule="auto"/>
              <w:contextualSpacing/>
              <w:jc w:val="center"/>
              <w:rPr>
                <w:rFonts w:ascii="Verdana" w:hAnsi="Verdana"/>
                <w:sz w:val="18"/>
                <w:szCs w:val="18"/>
              </w:rPr>
            </w:pPr>
          </w:p>
        </w:tc>
        <w:tc>
          <w:tcPr>
            <w:tcW w:w="547" w:type="pct"/>
          </w:tcPr>
          <w:p w:rsidR="002063E2" w:rsidRPr="004D3DC6" w:rsidRDefault="002063E2" w:rsidP="0097447A">
            <w:pPr>
              <w:spacing w:line="276" w:lineRule="auto"/>
              <w:contextualSpacing/>
              <w:jc w:val="center"/>
              <w:rPr>
                <w:rFonts w:ascii="Verdana" w:hAnsi="Verdana"/>
                <w:sz w:val="18"/>
                <w:szCs w:val="18"/>
              </w:rPr>
            </w:pPr>
          </w:p>
        </w:tc>
      </w:tr>
      <w:tr w:rsidR="002063E2" w:rsidRPr="004D3DC6" w:rsidTr="00D84DC9">
        <w:trPr>
          <w:jc w:val="right"/>
        </w:trPr>
        <w:tc>
          <w:tcPr>
            <w:tcW w:w="1042" w:type="pct"/>
          </w:tcPr>
          <w:p w:rsidR="002063E2" w:rsidRPr="004D3DC6" w:rsidRDefault="002063E2" w:rsidP="0097447A">
            <w:pPr>
              <w:spacing w:line="276" w:lineRule="auto"/>
              <w:contextualSpacing/>
              <w:rPr>
                <w:rFonts w:ascii="Verdana" w:hAnsi="Verdana"/>
                <w:sz w:val="18"/>
                <w:szCs w:val="18"/>
              </w:rPr>
            </w:pPr>
            <w:r w:rsidRPr="004D3DC6">
              <w:rPr>
                <w:rFonts w:ascii="Verdana" w:hAnsi="Verdana"/>
                <w:sz w:val="18"/>
                <w:szCs w:val="18"/>
              </w:rPr>
              <w:t>Financial cost: interest</w:t>
            </w:r>
          </w:p>
        </w:tc>
        <w:tc>
          <w:tcPr>
            <w:tcW w:w="386" w:type="pct"/>
          </w:tcPr>
          <w:p w:rsidR="002063E2" w:rsidRPr="004D3DC6" w:rsidRDefault="002063E2" w:rsidP="0097447A">
            <w:pPr>
              <w:spacing w:line="276" w:lineRule="auto"/>
              <w:contextualSpacing/>
              <w:jc w:val="center"/>
              <w:rPr>
                <w:rFonts w:ascii="Verdana" w:hAnsi="Verdana"/>
                <w:sz w:val="18"/>
                <w:szCs w:val="18"/>
              </w:rPr>
            </w:pPr>
          </w:p>
        </w:tc>
        <w:tc>
          <w:tcPr>
            <w:tcW w:w="391"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557"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545"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64"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589"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79"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547"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r>
      <w:tr w:rsidR="002063E2" w:rsidRPr="004D3DC6" w:rsidTr="00D84DC9">
        <w:trPr>
          <w:jc w:val="right"/>
        </w:trPr>
        <w:tc>
          <w:tcPr>
            <w:tcW w:w="1042" w:type="pct"/>
          </w:tcPr>
          <w:p w:rsidR="002063E2" w:rsidRPr="004D3DC6" w:rsidRDefault="002063E2" w:rsidP="0097447A">
            <w:pPr>
              <w:spacing w:line="276" w:lineRule="auto"/>
              <w:contextualSpacing/>
              <w:rPr>
                <w:rFonts w:ascii="Verdana" w:hAnsi="Verdana"/>
                <w:sz w:val="18"/>
                <w:szCs w:val="18"/>
              </w:rPr>
            </w:pPr>
            <w:r w:rsidRPr="004D3DC6">
              <w:rPr>
                <w:rFonts w:ascii="Verdana" w:hAnsi="Verdana"/>
                <w:sz w:val="18"/>
                <w:szCs w:val="18"/>
              </w:rPr>
              <w:t>Delay costs</w:t>
            </w:r>
          </w:p>
        </w:tc>
        <w:tc>
          <w:tcPr>
            <w:tcW w:w="386" w:type="pct"/>
          </w:tcPr>
          <w:p w:rsidR="002063E2" w:rsidRPr="004D3DC6" w:rsidRDefault="002063E2" w:rsidP="0097447A">
            <w:pPr>
              <w:spacing w:line="276" w:lineRule="auto"/>
              <w:contextualSpacing/>
              <w:jc w:val="center"/>
              <w:rPr>
                <w:rFonts w:ascii="Verdana" w:hAnsi="Verdana"/>
                <w:sz w:val="18"/>
                <w:szCs w:val="18"/>
              </w:rPr>
            </w:pPr>
          </w:p>
        </w:tc>
        <w:tc>
          <w:tcPr>
            <w:tcW w:w="391"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557"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545"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64"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589"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79"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547"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r>
      <w:tr w:rsidR="002063E2" w:rsidRPr="004D3DC6" w:rsidTr="00D84DC9">
        <w:trPr>
          <w:jc w:val="right"/>
        </w:trPr>
        <w:tc>
          <w:tcPr>
            <w:tcW w:w="1042" w:type="pct"/>
          </w:tcPr>
          <w:p w:rsidR="002063E2" w:rsidRPr="004D3DC6" w:rsidRDefault="002063E2" w:rsidP="0097447A">
            <w:pPr>
              <w:spacing w:line="276" w:lineRule="auto"/>
              <w:contextualSpacing/>
              <w:rPr>
                <w:rFonts w:ascii="Verdana" w:hAnsi="Verdana"/>
                <w:sz w:val="18"/>
                <w:szCs w:val="18"/>
              </w:rPr>
            </w:pPr>
            <w:r w:rsidRPr="004D3DC6">
              <w:rPr>
                <w:rFonts w:ascii="Verdana" w:hAnsi="Verdana"/>
                <w:sz w:val="18"/>
                <w:szCs w:val="18"/>
              </w:rPr>
              <w:t>Enforcement costs</w:t>
            </w:r>
          </w:p>
        </w:tc>
        <w:tc>
          <w:tcPr>
            <w:tcW w:w="386" w:type="pct"/>
          </w:tcPr>
          <w:p w:rsidR="002063E2" w:rsidRPr="004D3DC6" w:rsidRDefault="002063E2" w:rsidP="0097447A">
            <w:pPr>
              <w:spacing w:line="276" w:lineRule="auto"/>
              <w:contextualSpacing/>
              <w:jc w:val="center"/>
              <w:rPr>
                <w:rFonts w:ascii="Verdana" w:hAnsi="Verdana"/>
                <w:sz w:val="18"/>
                <w:szCs w:val="18"/>
              </w:rPr>
            </w:pPr>
          </w:p>
        </w:tc>
        <w:tc>
          <w:tcPr>
            <w:tcW w:w="391"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557"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545"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64"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589"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79"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547"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r>
      <w:tr w:rsidR="00D84DC9" w:rsidRPr="004D3DC6" w:rsidTr="00D84DC9">
        <w:trPr>
          <w:jc w:val="right"/>
        </w:trPr>
        <w:tc>
          <w:tcPr>
            <w:tcW w:w="5000" w:type="pct"/>
            <w:gridSpan w:val="9"/>
            <w:shd w:val="clear" w:color="auto" w:fill="D9D9D9" w:themeFill="background1" w:themeFillShade="D9"/>
          </w:tcPr>
          <w:p w:rsidR="00D84DC9" w:rsidRPr="004D3DC6" w:rsidRDefault="00D84DC9" w:rsidP="0097447A">
            <w:pPr>
              <w:spacing w:line="276" w:lineRule="auto"/>
              <w:contextualSpacing/>
              <w:rPr>
                <w:rFonts w:ascii="Verdana" w:hAnsi="Verdana"/>
                <w:sz w:val="18"/>
                <w:szCs w:val="18"/>
              </w:rPr>
            </w:pPr>
            <w:r w:rsidRPr="004D3DC6">
              <w:rPr>
                <w:rFonts w:ascii="Verdana" w:hAnsi="Verdana"/>
                <w:b/>
                <w:sz w:val="18"/>
                <w:szCs w:val="18"/>
              </w:rPr>
              <w:t>Institutions</w:t>
            </w:r>
          </w:p>
        </w:tc>
      </w:tr>
      <w:tr w:rsidR="002063E2" w:rsidRPr="004D3DC6" w:rsidTr="00D84DC9">
        <w:trPr>
          <w:jc w:val="right"/>
        </w:trPr>
        <w:tc>
          <w:tcPr>
            <w:tcW w:w="1042" w:type="pct"/>
          </w:tcPr>
          <w:p w:rsidR="002063E2" w:rsidRPr="004D3DC6" w:rsidRDefault="002063E2" w:rsidP="0097447A">
            <w:pPr>
              <w:spacing w:line="276" w:lineRule="auto"/>
              <w:contextualSpacing/>
              <w:rPr>
                <w:rFonts w:ascii="Verdana" w:hAnsi="Verdana"/>
                <w:sz w:val="18"/>
                <w:szCs w:val="18"/>
              </w:rPr>
            </w:pPr>
            <w:r w:rsidRPr="004D3DC6">
              <w:rPr>
                <w:rFonts w:ascii="Verdana" w:hAnsi="Verdana"/>
                <w:sz w:val="18"/>
                <w:szCs w:val="18"/>
              </w:rPr>
              <w:t>Administrative costs</w:t>
            </w:r>
          </w:p>
        </w:tc>
        <w:tc>
          <w:tcPr>
            <w:tcW w:w="386" w:type="pct"/>
          </w:tcPr>
          <w:p w:rsidR="002063E2" w:rsidRPr="004D3DC6" w:rsidRDefault="002063E2" w:rsidP="0097447A">
            <w:pPr>
              <w:spacing w:line="276" w:lineRule="auto"/>
              <w:contextualSpacing/>
              <w:jc w:val="center"/>
              <w:rPr>
                <w:rFonts w:ascii="Verdana" w:hAnsi="Verdana"/>
                <w:sz w:val="18"/>
                <w:szCs w:val="18"/>
              </w:rPr>
            </w:pPr>
          </w:p>
        </w:tc>
        <w:tc>
          <w:tcPr>
            <w:tcW w:w="391" w:type="pct"/>
          </w:tcPr>
          <w:p w:rsidR="002063E2" w:rsidRPr="004D3DC6" w:rsidRDefault="002063E2" w:rsidP="0097447A">
            <w:pPr>
              <w:spacing w:line="276" w:lineRule="auto"/>
              <w:contextualSpacing/>
              <w:jc w:val="center"/>
              <w:rPr>
                <w:rFonts w:ascii="Verdana" w:hAnsi="Verdana"/>
                <w:sz w:val="18"/>
                <w:szCs w:val="18"/>
              </w:rPr>
            </w:pPr>
          </w:p>
        </w:tc>
        <w:tc>
          <w:tcPr>
            <w:tcW w:w="557"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545" w:type="pct"/>
          </w:tcPr>
          <w:p w:rsidR="002063E2" w:rsidRPr="004D3DC6" w:rsidRDefault="002063E2" w:rsidP="0097447A">
            <w:pPr>
              <w:spacing w:line="276" w:lineRule="auto"/>
              <w:contextualSpacing/>
              <w:jc w:val="center"/>
              <w:rPr>
                <w:rFonts w:ascii="Verdana" w:hAnsi="Verdana"/>
                <w:sz w:val="18"/>
                <w:szCs w:val="18"/>
              </w:rPr>
            </w:pPr>
          </w:p>
        </w:tc>
        <w:tc>
          <w:tcPr>
            <w:tcW w:w="464"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589"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79" w:type="pct"/>
          </w:tcPr>
          <w:p w:rsidR="002063E2" w:rsidRPr="004D3DC6" w:rsidRDefault="002063E2" w:rsidP="0097447A">
            <w:pPr>
              <w:spacing w:line="276" w:lineRule="auto"/>
              <w:contextualSpacing/>
              <w:jc w:val="center"/>
              <w:rPr>
                <w:rFonts w:ascii="Verdana" w:hAnsi="Verdana"/>
                <w:sz w:val="18"/>
                <w:szCs w:val="18"/>
              </w:rPr>
            </w:pPr>
          </w:p>
        </w:tc>
        <w:tc>
          <w:tcPr>
            <w:tcW w:w="547" w:type="pct"/>
          </w:tcPr>
          <w:p w:rsidR="002063E2" w:rsidRPr="004D3DC6" w:rsidRDefault="002063E2" w:rsidP="0097447A">
            <w:pPr>
              <w:spacing w:line="276" w:lineRule="auto"/>
              <w:contextualSpacing/>
              <w:jc w:val="center"/>
              <w:rPr>
                <w:rFonts w:ascii="Verdana" w:hAnsi="Verdana"/>
                <w:sz w:val="18"/>
                <w:szCs w:val="18"/>
              </w:rPr>
            </w:pPr>
          </w:p>
        </w:tc>
      </w:tr>
      <w:tr w:rsidR="002063E2" w:rsidRPr="004D3DC6" w:rsidTr="00D84DC9">
        <w:trPr>
          <w:jc w:val="right"/>
        </w:trPr>
        <w:tc>
          <w:tcPr>
            <w:tcW w:w="1042" w:type="pct"/>
          </w:tcPr>
          <w:p w:rsidR="002063E2" w:rsidRPr="004D3DC6" w:rsidRDefault="002063E2" w:rsidP="0097447A">
            <w:pPr>
              <w:spacing w:line="276" w:lineRule="auto"/>
              <w:contextualSpacing/>
              <w:rPr>
                <w:rFonts w:ascii="Verdana" w:hAnsi="Verdana"/>
                <w:sz w:val="18"/>
                <w:szCs w:val="18"/>
              </w:rPr>
            </w:pPr>
            <w:r w:rsidRPr="004D3DC6">
              <w:rPr>
                <w:rFonts w:ascii="Verdana" w:hAnsi="Verdana"/>
                <w:sz w:val="18"/>
                <w:szCs w:val="18"/>
              </w:rPr>
              <w:t>Operational costs</w:t>
            </w:r>
          </w:p>
        </w:tc>
        <w:tc>
          <w:tcPr>
            <w:tcW w:w="386" w:type="pct"/>
          </w:tcPr>
          <w:p w:rsidR="002063E2" w:rsidRPr="004D3DC6" w:rsidRDefault="002063E2" w:rsidP="0097447A">
            <w:pPr>
              <w:spacing w:line="276" w:lineRule="auto"/>
              <w:contextualSpacing/>
              <w:jc w:val="center"/>
              <w:rPr>
                <w:rFonts w:ascii="Verdana" w:hAnsi="Verdana"/>
                <w:sz w:val="18"/>
                <w:szCs w:val="18"/>
              </w:rPr>
            </w:pPr>
          </w:p>
        </w:tc>
        <w:tc>
          <w:tcPr>
            <w:tcW w:w="391" w:type="pct"/>
          </w:tcPr>
          <w:p w:rsidR="002063E2" w:rsidRPr="004D3DC6" w:rsidRDefault="002063E2" w:rsidP="0097447A">
            <w:pPr>
              <w:spacing w:line="276" w:lineRule="auto"/>
              <w:contextualSpacing/>
              <w:jc w:val="center"/>
              <w:rPr>
                <w:rFonts w:ascii="Verdana" w:hAnsi="Verdana"/>
                <w:sz w:val="18"/>
                <w:szCs w:val="18"/>
              </w:rPr>
            </w:pPr>
          </w:p>
        </w:tc>
        <w:tc>
          <w:tcPr>
            <w:tcW w:w="557" w:type="pct"/>
          </w:tcPr>
          <w:p w:rsidR="002063E2" w:rsidRPr="004D3DC6" w:rsidRDefault="002063E2" w:rsidP="0097447A">
            <w:pPr>
              <w:spacing w:line="276" w:lineRule="auto"/>
              <w:contextualSpacing/>
              <w:jc w:val="center"/>
              <w:rPr>
                <w:rFonts w:ascii="Verdana" w:hAnsi="Verdana"/>
                <w:sz w:val="18"/>
                <w:szCs w:val="18"/>
              </w:rPr>
            </w:pPr>
          </w:p>
        </w:tc>
        <w:tc>
          <w:tcPr>
            <w:tcW w:w="545" w:type="pct"/>
          </w:tcPr>
          <w:p w:rsidR="002063E2" w:rsidRPr="004D3DC6" w:rsidRDefault="002063E2" w:rsidP="0097447A">
            <w:pPr>
              <w:spacing w:line="276" w:lineRule="auto"/>
              <w:contextualSpacing/>
              <w:jc w:val="center"/>
              <w:rPr>
                <w:rFonts w:ascii="Verdana" w:hAnsi="Verdana"/>
                <w:sz w:val="18"/>
                <w:szCs w:val="18"/>
              </w:rPr>
            </w:pPr>
          </w:p>
        </w:tc>
        <w:tc>
          <w:tcPr>
            <w:tcW w:w="464"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589"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79" w:type="pct"/>
          </w:tcPr>
          <w:p w:rsidR="002063E2" w:rsidRPr="004D3DC6" w:rsidRDefault="002063E2" w:rsidP="0097447A">
            <w:pPr>
              <w:spacing w:line="276" w:lineRule="auto"/>
              <w:contextualSpacing/>
              <w:jc w:val="center"/>
              <w:rPr>
                <w:rFonts w:ascii="Verdana" w:hAnsi="Verdana"/>
                <w:sz w:val="18"/>
                <w:szCs w:val="18"/>
              </w:rPr>
            </w:pPr>
          </w:p>
        </w:tc>
        <w:tc>
          <w:tcPr>
            <w:tcW w:w="547" w:type="pct"/>
          </w:tcPr>
          <w:p w:rsidR="002063E2" w:rsidRPr="004D3DC6" w:rsidRDefault="002063E2" w:rsidP="0097447A">
            <w:pPr>
              <w:spacing w:line="276" w:lineRule="auto"/>
              <w:contextualSpacing/>
              <w:jc w:val="center"/>
              <w:rPr>
                <w:rFonts w:ascii="Verdana" w:hAnsi="Verdana"/>
                <w:sz w:val="18"/>
                <w:szCs w:val="18"/>
              </w:rPr>
            </w:pPr>
          </w:p>
        </w:tc>
      </w:tr>
      <w:tr w:rsidR="002063E2" w:rsidRPr="004D3DC6" w:rsidTr="00D84DC9">
        <w:trPr>
          <w:jc w:val="right"/>
        </w:trPr>
        <w:tc>
          <w:tcPr>
            <w:tcW w:w="1042" w:type="pct"/>
          </w:tcPr>
          <w:p w:rsidR="002063E2" w:rsidRPr="004D3DC6" w:rsidRDefault="002063E2" w:rsidP="0097447A">
            <w:pPr>
              <w:spacing w:line="276" w:lineRule="auto"/>
              <w:contextualSpacing/>
              <w:rPr>
                <w:rFonts w:ascii="Verdana" w:hAnsi="Verdana"/>
                <w:sz w:val="18"/>
                <w:szCs w:val="18"/>
              </w:rPr>
            </w:pPr>
            <w:r w:rsidRPr="004D3DC6">
              <w:rPr>
                <w:rFonts w:ascii="Verdana" w:hAnsi="Verdana"/>
                <w:sz w:val="18"/>
                <w:szCs w:val="18"/>
              </w:rPr>
              <w:t>Enforcement costs</w:t>
            </w:r>
          </w:p>
        </w:tc>
        <w:tc>
          <w:tcPr>
            <w:tcW w:w="386" w:type="pct"/>
          </w:tcPr>
          <w:p w:rsidR="002063E2" w:rsidRPr="004D3DC6" w:rsidRDefault="002063E2" w:rsidP="0097447A">
            <w:pPr>
              <w:spacing w:line="276" w:lineRule="auto"/>
              <w:contextualSpacing/>
              <w:jc w:val="center"/>
              <w:rPr>
                <w:rFonts w:ascii="Verdana" w:hAnsi="Verdana"/>
                <w:sz w:val="18"/>
                <w:szCs w:val="18"/>
              </w:rPr>
            </w:pPr>
          </w:p>
        </w:tc>
        <w:tc>
          <w:tcPr>
            <w:tcW w:w="391" w:type="pct"/>
          </w:tcPr>
          <w:p w:rsidR="002063E2" w:rsidRPr="004D3DC6" w:rsidRDefault="002063E2" w:rsidP="0097447A">
            <w:pPr>
              <w:spacing w:line="276" w:lineRule="auto"/>
              <w:contextualSpacing/>
              <w:jc w:val="center"/>
              <w:rPr>
                <w:rFonts w:ascii="Verdana" w:hAnsi="Verdana"/>
                <w:sz w:val="18"/>
                <w:szCs w:val="18"/>
              </w:rPr>
            </w:pPr>
          </w:p>
        </w:tc>
        <w:tc>
          <w:tcPr>
            <w:tcW w:w="557" w:type="pct"/>
          </w:tcPr>
          <w:p w:rsidR="002063E2" w:rsidRPr="004D3DC6" w:rsidRDefault="002063E2" w:rsidP="0097447A">
            <w:pPr>
              <w:spacing w:line="276" w:lineRule="auto"/>
              <w:contextualSpacing/>
              <w:jc w:val="center"/>
              <w:rPr>
                <w:rFonts w:ascii="Verdana" w:hAnsi="Verdana"/>
                <w:sz w:val="18"/>
                <w:szCs w:val="18"/>
              </w:rPr>
            </w:pPr>
          </w:p>
        </w:tc>
        <w:tc>
          <w:tcPr>
            <w:tcW w:w="545" w:type="pct"/>
          </w:tcPr>
          <w:p w:rsidR="002063E2" w:rsidRPr="004D3DC6" w:rsidRDefault="002063E2" w:rsidP="0097447A">
            <w:pPr>
              <w:spacing w:line="276" w:lineRule="auto"/>
              <w:contextualSpacing/>
              <w:jc w:val="center"/>
              <w:rPr>
                <w:rFonts w:ascii="Verdana" w:hAnsi="Verdana"/>
                <w:sz w:val="18"/>
                <w:szCs w:val="18"/>
              </w:rPr>
            </w:pPr>
          </w:p>
        </w:tc>
        <w:tc>
          <w:tcPr>
            <w:tcW w:w="464" w:type="pct"/>
          </w:tcPr>
          <w:p w:rsidR="002063E2" w:rsidRPr="004D3DC6" w:rsidRDefault="002063E2" w:rsidP="0097447A">
            <w:pPr>
              <w:spacing w:line="276" w:lineRule="auto"/>
              <w:contextualSpacing/>
              <w:jc w:val="center"/>
              <w:rPr>
                <w:rFonts w:ascii="Verdana" w:hAnsi="Verdana"/>
                <w:sz w:val="18"/>
                <w:szCs w:val="18"/>
              </w:rPr>
            </w:pPr>
          </w:p>
        </w:tc>
        <w:tc>
          <w:tcPr>
            <w:tcW w:w="589" w:type="pct"/>
          </w:tcPr>
          <w:p w:rsidR="002063E2" w:rsidRPr="004D3DC6" w:rsidRDefault="002063E2" w:rsidP="0097447A">
            <w:pPr>
              <w:spacing w:line="276" w:lineRule="auto"/>
              <w:contextualSpacing/>
              <w:jc w:val="center"/>
              <w:rPr>
                <w:rFonts w:ascii="Verdana" w:hAnsi="Verdana"/>
                <w:sz w:val="18"/>
                <w:szCs w:val="18"/>
              </w:rPr>
            </w:pPr>
          </w:p>
        </w:tc>
        <w:tc>
          <w:tcPr>
            <w:tcW w:w="479" w:type="pct"/>
          </w:tcPr>
          <w:p w:rsidR="002063E2" w:rsidRPr="004D3DC6" w:rsidRDefault="002063E2" w:rsidP="0097447A">
            <w:pPr>
              <w:spacing w:line="276" w:lineRule="auto"/>
              <w:contextualSpacing/>
              <w:jc w:val="center"/>
              <w:rPr>
                <w:rFonts w:ascii="Verdana" w:hAnsi="Verdana"/>
                <w:sz w:val="18"/>
                <w:szCs w:val="18"/>
              </w:rPr>
            </w:pPr>
          </w:p>
        </w:tc>
        <w:tc>
          <w:tcPr>
            <w:tcW w:w="547" w:type="pct"/>
          </w:tcPr>
          <w:p w:rsidR="002063E2" w:rsidRPr="004D3DC6" w:rsidRDefault="002063E2" w:rsidP="0097447A">
            <w:pPr>
              <w:spacing w:line="276" w:lineRule="auto"/>
              <w:contextualSpacing/>
              <w:jc w:val="center"/>
              <w:rPr>
                <w:rFonts w:ascii="Verdana" w:hAnsi="Verdana"/>
                <w:sz w:val="18"/>
                <w:szCs w:val="18"/>
              </w:rPr>
            </w:pPr>
          </w:p>
        </w:tc>
      </w:tr>
      <w:tr w:rsidR="002063E2" w:rsidRPr="004D3DC6" w:rsidTr="00D84DC9">
        <w:trPr>
          <w:jc w:val="right"/>
        </w:trPr>
        <w:tc>
          <w:tcPr>
            <w:tcW w:w="1042" w:type="pct"/>
          </w:tcPr>
          <w:p w:rsidR="002063E2" w:rsidRPr="004D3DC6" w:rsidRDefault="002063E2" w:rsidP="0097447A">
            <w:pPr>
              <w:spacing w:line="276" w:lineRule="auto"/>
              <w:ind w:left="171"/>
              <w:contextualSpacing/>
              <w:rPr>
                <w:rFonts w:ascii="Verdana" w:hAnsi="Verdana"/>
                <w:i/>
                <w:sz w:val="18"/>
                <w:szCs w:val="18"/>
              </w:rPr>
            </w:pPr>
            <w:r w:rsidRPr="004D3DC6">
              <w:rPr>
                <w:rFonts w:ascii="Verdana" w:hAnsi="Verdana"/>
                <w:i/>
                <w:sz w:val="18"/>
                <w:szCs w:val="18"/>
              </w:rPr>
              <w:t>Monitoring</w:t>
            </w:r>
          </w:p>
        </w:tc>
        <w:tc>
          <w:tcPr>
            <w:tcW w:w="386" w:type="pct"/>
          </w:tcPr>
          <w:p w:rsidR="002063E2" w:rsidRPr="004D3DC6" w:rsidRDefault="002063E2" w:rsidP="0097447A">
            <w:pPr>
              <w:spacing w:line="276" w:lineRule="auto"/>
              <w:contextualSpacing/>
              <w:jc w:val="center"/>
              <w:rPr>
                <w:rFonts w:ascii="Verdana" w:hAnsi="Verdana"/>
                <w:sz w:val="18"/>
                <w:szCs w:val="18"/>
              </w:rPr>
            </w:pPr>
          </w:p>
        </w:tc>
        <w:tc>
          <w:tcPr>
            <w:tcW w:w="391" w:type="pct"/>
          </w:tcPr>
          <w:p w:rsidR="002063E2" w:rsidRPr="004D3DC6" w:rsidRDefault="002063E2" w:rsidP="0097447A">
            <w:pPr>
              <w:spacing w:line="276" w:lineRule="auto"/>
              <w:contextualSpacing/>
              <w:jc w:val="center"/>
              <w:rPr>
                <w:rFonts w:ascii="Verdana" w:hAnsi="Verdana"/>
                <w:sz w:val="18"/>
                <w:szCs w:val="18"/>
              </w:rPr>
            </w:pPr>
          </w:p>
        </w:tc>
        <w:tc>
          <w:tcPr>
            <w:tcW w:w="557" w:type="pct"/>
          </w:tcPr>
          <w:p w:rsidR="002063E2" w:rsidRPr="004D3DC6" w:rsidRDefault="002063E2" w:rsidP="0097447A">
            <w:pPr>
              <w:spacing w:line="276" w:lineRule="auto"/>
              <w:contextualSpacing/>
              <w:jc w:val="center"/>
              <w:rPr>
                <w:rFonts w:ascii="Verdana" w:hAnsi="Verdana"/>
                <w:sz w:val="18"/>
                <w:szCs w:val="18"/>
              </w:rPr>
            </w:pPr>
          </w:p>
        </w:tc>
        <w:tc>
          <w:tcPr>
            <w:tcW w:w="545" w:type="pct"/>
          </w:tcPr>
          <w:p w:rsidR="002063E2" w:rsidRPr="004D3DC6" w:rsidRDefault="002063E2" w:rsidP="0097447A">
            <w:pPr>
              <w:spacing w:line="276" w:lineRule="auto"/>
              <w:contextualSpacing/>
              <w:jc w:val="center"/>
              <w:rPr>
                <w:rFonts w:ascii="Verdana" w:hAnsi="Verdana"/>
                <w:sz w:val="18"/>
                <w:szCs w:val="18"/>
              </w:rPr>
            </w:pPr>
          </w:p>
        </w:tc>
        <w:tc>
          <w:tcPr>
            <w:tcW w:w="464" w:type="pct"/>
          </w:tcPr>
          <w:p w:rsidR="002063E2" w:rsidRPr="004D3DC6" w:rsidRDefault="002063E2" w:rsidP="0097447A">
            <w:pPr>
              <w:spacing w:line="276" w:lineRule="auto"/>
              <w:contextualSpacing/>
              <w:jc w:val="center"/>
              <w:rPr>
                <w:rFonts w:ascii="Verdana" w:hAnsi="Verdana"/>
                <w:sz w:val="18"/>
                <w:szCs w:val="18"/>
              </w:rPr>
            </w:pPr>
          </w:p>
        </w:tc>
        <w:tc>
          <w:tcPr>
            <w:tcW w:w="589"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79" w:type="pct"/>
          </w:tcPr>
          <w:p w:rsidR="002063E2" w:rsidRPr="004D3DC6" w:rsidRDefault="002063E2" w:rsidP="0097447A">
            <w:pPr>
              <w:spacing w:line="276" w:lineRule="auto"/>
              <w:contextualSpacing/>
              <w:jc w:val="center"/>
              <w:rPr>
                <w:rFonts w:ascii="Verdana" w:hAnsi="Verdana"/>
                <w:sz w:val="18"/>
                <w:szCs w:val="18"/>
              </w:rPr>
            </w:pPr>
          </w:p>
        </w:tc>
        <w:tc>
          <w:tcPr>
            <w:tcW w:w="547" w:type="pct"/>
          </w:tcPr>
          <w:p w:rsidR="002063E2" w:rsidRPr="004D3DC6" w:rsidRDefault="002063E2" w:rsidP="0097447A">
            <w:pPr>
              <w:spacing w:line="276" w:lineRule="auto"/>
              <w:contextualSpacing/>
              <w:jc w:val="center"/>
              <w:rPr>
                <w:rFonts w:ascii="Verdana" w:hAnsi="Verdana"/>
                <w:sz w:val="18"/>
                <w:szCs w:val="18"/>
              </w:rPr>
            </w:pPr>
          </w:p>
        </w:tc>
      </w:tr>
      <w:tr w:rsidR="002063E2" w:rsidRPr="004D3DC6" w:rsidTr="00D84DC9">
        <w:trPr>
          <w:jc w:val="right"/>
        </w:trPr>
        <w:tc>
          <w:tcPr>
            <w:tcW w:w="1042" w:type="pct"/>
          </w:tcPr>
          <w:p w:rsidR="002063E2" w:rsidRPr="004D3DC6" w:rsidRDefault="002063E2" w:rsidP="0097447A">
            <w:pPr>
              <w:spacing w:line="276" w:lineRule="auto"/>
              <w:ind w:left="171"/>
              <w:contextualSpacing/>
              <w:rPr>
                <w:rFonts w:ascii="Verdana" w:hAnsi="Verdana"/>
                <w:i/>
                <w:sz w:val="18"/>
                <w:szCs w:val="18"/>
              </w:rPr>
            </w:pPr>
            <w:r w:rsidRPr="004D3DC6">
              <w:rPr>
                <w:rFonts w:ascii="Verdana" w:hAnsi="Verdana"/>
                <w:i/>
                <w:sz w:val="18"/>
                <w:szCs w:val="18"/>
              </w:rPr>
              <w:t>Inspection</w:t>
            </w:r>
          </w:p>
        </w:tc>
        <w:tc>
          <w:tcPr>
            <w:tcW w:w="386" w:type="pct"/>
          </w:tcPr>
          <w:p w:rsidR="002063E2" w:rsidRPr="004D3DC6" w:rsidRDefault="002063E2" w:rsidP="0097447A">
            <w:pPr>
              <w:spacing w:line="276" w:lineRule="auto"/>
              <w:contextualSpacing/>
              <w:jc w:val="center"/>
              <w:rPr>
                <w:rFonts w:ascii="Verdana" w:hAnsi="Verdana"/>
                <w:sz w:val="18"/>
                <w:szCs w:val="18"/>
              </w:rPr>
            </w:pPr>
          </w:p>
        </w:tc>
        <w:tc>
          <w:tcPr>
            <w:tcW w:w="391" w:type="pct"/>
          </w:tcPr>
          <w:p w:rsidR="002063E2" w:rsidRPr="004D3DC6" w:rsidRDefault="002063E2" w:rsidP="0097447A">
            <w:pPr>
              <w:spacing w:line="276" w:lineRule="auto"/>
              <w:contextualSpacing/>
              <w:jc w:val="center"/>
              <w:rPr>
                <w:rFonts w:ascii="Verdana" w:hAnsi="Verdana"/>
                <w:sz w:val="18"/>
                <w:szCs w:val="18"/>
              </w:rPr>
            </w:pPr>
          </w:p>
        </w:tc>
        <w:tc>
          <w:tcPr>
            <w:tcW w:w="557" w:type="pct"/>
          </w:tcPr>
          <w:p w:rsidR="002063E2" w:rsidRPr="004D3DC6" w:rsidRDefault="002063E2" w:rsidP="0097447A">
            <w:pPr>
              <w:spacing w:line="276" w:lineRule="auto"/>
              <w:contextualSpacing/>
              <w:jc w:val="center"/>
              <w:rPr>
                <w:rFonts w:ascii="Verdana" w:hAnsi="Verdana"/>
                <w:sz w:val="18"/>
                <w:szCs w:val="18"/>
              </w:rPr>
            </w:pPr>
          </w:p>
        </w:tc>
        <w:tc>
          <w:tcPr>
            <w:tcW w:w="545" w:type="pct"/>
          </w:tcPr>
          <w:p w:rsidR="002063E2" w:rsidRPr="004D3DC6" w:rsidRDefault="002063E2" w:rsidP="0097447A">
            <w:pPr>
              <w:spacing w:line="276" w:lineRule="auto"/>
              <w:contextualSpacing/>
              <w:jc w:val="center"/>
              <w:rPr>
                <w:rFonts w:ascii="Verdana" w:hAnsi="Verdana"/>
                <w:sz w:val="18"/>
                <w:szCs w:val="18"/>
              </w:rPr>
            </w:pPr>
          </w:p>
        </w:tc>
        <w:tc>
          <w:tcPr>
            <w:tcW w:w="464" w:type="pct"/>
          </w:tcPr>
          <w:p w:rsidR="002063E2" w:rsidRPr="004D3DC6" w:rsidRDefault="002063E2" w:rsidP="0097447A">
            <w:pPr>
              <w:spacing w:line="276" w:lineRule="auto"/>
              <w:contextualSpacing/>
              <w:jc w:val="center"/>
              <w:rPr>
                <w:rFonts w:ascii="Verdana" w:hAnsi="Verdana"/>
                <w:sz w:val="18"/>
                <w:szCs w:val="18"/>
              </w:rPr>
            </w:pPr>
          </w:p>
        </w:tc>
        <w:tc>
          <w:tcPr>
            <w:tcW w:w="589"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79" w:type="pct"/>
          </w:tcPr>
          <w:p w:rsidR="002063E2" w:rsidRPr="004D3DC6" w:rsidRDefault="002063E2" w:rsidP="0097447A">
            <w:pPr>
              <w:spacing w:line="276" w:lineRule="auto"/>
              <w:contextualSpacing/>
              <w:jc w:val="center"/>
              <w:rPr>
                <w:rFonts w:ascii="Verdana" w:hAnsi="Verdana"/>
                <w:sz w:val="18"/>
                <w:szCs w:val="18"/>
              </w:rPr>
            </w:pPr>
          </w:p>
        </w:tc>
        <w:tc>
          <w:tcPr>
            <w:tcW w:w="547" w:type="pct"/>
          </w:tcPr>
          <w:p w:rsidR="002063E2" w:rsidRPr="004D3DC6" w:rsidRDefault="002063E2" w:rsidP="0097447A">
            <w:pPr>
              <w:spacing w:line="276" w:lineRule="auto"/>
              <w:contextualSpacing/>
              <w:jc w:val="center"/>
              <w:rPr>
                <w:rFonts w:ascii="Verdana" w:hAnsi="Verdana"/>
                <w:sz w:val="18"/>
                <w:szCs w:val="18"/>
              </w:rPr>
            </w:pPr>
          </w:p>
        </w:tc>
      </w:tr>
      <w:tr w:rsidR="002063E2" w:rsidRPr="004D3DC6" w:rsidTr="00D84DC9">
        <w:trPr>
          <w:jc w:val="right"/>
        </w:trPr>
        <w:tc>
          <w:tcPr>
            <w:tcW w:w="1042" w:type="pct"/>
          </w:tcPr>
          <w:p w:rsidR="002063E2" w:rsidRPr="004D3DC6" w:rsidRDefault="002063E2" w:rsidP="0097447A">
            <w:pPr>
              <w:spacing w:line="276" w:lineRule="auto"/>
              <w:ind w:left="171"/>
              <w:contextualSpacing/>
              <w:rPr>
                <w:rFonts w:ascii="Verdana" w:hAnsi="Verdana"/>
                <w:i/>
                <w:sz w:val="18"/>
                <w:szCs w:val="18"/>
              </w:rPr>
            </w:pPr>
            <w:r w:rsidRPr="004D3DC6">
              <w:rPr>
                <w:rFonts w:ascii="Verdana" w:hAnsi="Verdana"/>
                <w:i/>
                <w:sz w:val="18"/>
                <w:szCs w:val="18"/>
              </w:rPr>
              <w:t>Adjudication</w:t>
            </w:r>
          </w:p>
        </w:tc>
        <w:tc>
          <w:tcPr>
            <w:tcW w:w="386" w:type="pct"/>
          </w:tcPr>
          <w:p w:rsidR="002063E2" w:rsidRPr="004D3DC6" w:rsidRDefault="002063E2" w:rsidP="0097447A">
            <w:pPr>
              <w:spacing w:line="276" w:lineRule="auto"/>
              <w:contextualSpacing/>
              <w:jc w:val="center"/>
              <w:rPr>
                <w:rFonts w:ascii="Verdana" w:hAnsi="Verdana"/>
                <w:sz w:val="18"/>
                <w:szCs w:val="18"/>
              </w:rPr>
            </w:pPr>
          </w:p>
        </w:tc>
        <w:tc>
          <w:tcPr>
            <w:tcW w:w="391" w:type="pct"/>
          </w:tcPr>
          <w:p w:rsidR="002063E2" w:rsidRPr="004D3DC6" w:rsidRDefault="002063E2" w:rsidP="0097447A">
            <w:pPr>
              <w:spacing w:line="276" w:lineRule="auto"/>
              <w:contextualSpacing/>
              <w:jc w:val="center"/>
              <w:rPr>
                <w:rFonts w:ascii="Verdana" w:hAnsi="Verdana"/>
                <w:sz w:val="18"/>
                <w:szCs w:val="18"/>
              </w:rPr>
            </w:pPr>
          </w:p>
        </w:tc>
        <w:tc>
          <w:tcPr>
            <w:tcW w:w="557" w:type="pct"/>
          </w:tcPr>
          <w:p w:rsidR="002063E2" w:rsidRPr="004D3DC6" w:rsidRDefault="002063E2" w:rsidP="0097447A">
            <w:pPr>
              <w:spacing w:line="276" w:lineRule="auto"/>
              <w:contextualSpacing/>
              <w:jc w:val="center"/>
              <w:rPr>
                <w:rFonts w:ascii="Verdana" w:hAnsi="Verdana"/>
                <w:sz w:val="18"/>
                <w:szCs w:val="18"/>
              </w:rPr>
            </w:pPr>
          </w:p>
        </w:tc>
        <w:tc>
          <w:tcPr>
            <w:tcW w:w="545" w:type="pct"/>
          </w:tcPr>
          <w:p w:rsidR="002063E2" w:rsidRPr="004D3DC6" w:rsidRDefault="002063E2" w:rsidP="0097447A">
            <w:pPr>
              <w:spacing w:line="276" w:lineRule="auto"/>
              <w:contextualSpacing/>
              <w:jc w:val="center"/>
              <w:rPr>
                <w:rFonts w:ascii="Verdana" w:hAnsi="Verdana"/>
                <w:sz w:val="18"/>
                <w:szCs w:val="18"/>
              </w:rPr>
            </w:pPr>
          </w:p>
        </w:tc>
        <w:tc>
          <w:tcPr>
            <w:tcW w:w="464" w:type="pct"/>
            <w:shd w:val="clear" w:color="auto" w:fill="FFFFFF" w:themeFill="background1"/>
          </w:tcPr>
          <w:p w:rsidR="002063E2" w:rsidRPr="004D3DC6" w:rsidRDefault="002063E2" w:rsidP="0097447A">
            <w:pPr>
              <w:tabs>
                <w:tab w:val="left" w:pos="180"/>
                <w:tab w:val="center" w:pos="451"/>
              </w:tabs>
              <w:spacing w:line="276" w:lineRule="auto"/>
              <w:contextualSpacing/>
              <w:rPr>
                <w:rFonts w:ascii="Verdana" w:hAnsi="Verdana"/>
                <w:sz w:val="18"/>
                <w:szCs w:val="18"/>
              </w:rPr>
            </w:pPr>
            <w:r w:rsidRPr="004D3DC6">
              <w:rPr>
                <w:rFonts w:ascii="Verdana" w:hAnsi="Verdana"/>
                <w:sz w:val="18"/>
                <w:szCs w:val="18"/>
              </w:rPr>
              <w:tab/>
            </w:r>
            <w:r w:rsidRPr="004D3DC6">
              <w:rPr>
                <w:rFonts w:ascii="Verdana" w:hAnsi="Verdana"/>
                <w:sz w:val="18"/>
                <w:szCs w:val="18"/>
              </w:rPr>
              <w:tab/>
              <w:t>+</w:t>
            </w:r>
          </w:p>
        </w:tc>
        <w:tc>
          <w:tcPr>
            <w:tcW w:w="589"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79" w:type="pct"/>
          </w:tcPr>
          <w:p w:rsidR="002063E2" w:rsidRPr="004D3DC6" w:rsidRDefault="002063E2" w:rsidP="0097447A">
            <w:pPr>
              <w:spacing w:line="276" w:lineRule="auto"/>
              <w:contextualSpacing/>
              <w:jc w:val="center"/>
              <w:rPr>
                <w:rFonts w:ascii="Verdana" w:hAnsi="Verdana"/>
                <w:sz w:val="18"/>
                <w:szCs w:val="18"/>
              </w:rPr>
            </w:pPr>
          </w:p>
        </w:tc>
        <w:tc>
          <w:tcPr>
            <w:tcW w:w="547" w:type="pct"/>
          </w:tcPr>
          <w:p w:rsidR="002063E2" w:rsidRPr="004D3DC6" w:rsidRDefault="002063E2" w:rsidP="0097447A">
            <w:pPr>
              <w:spacing w:line="276" w:lineRule="auto"/>
              <w:contextualSpacing/>
              <w:jc w:val="center"/>
              <w:rPr>
                <w:rFonts w:ascii="Verdana" w:hAnsi="Verdana"/>
                <w:sz w:val="18"/>
                <w:szCs w:val="18"/>
              </w:rPr>
            </w:pPr>
          </w:p>
        </w:tc>
      </w:tr>
      <w:tr w:rsidR="002063E2" w:rsidRPr="004D3DC6" w:rsidTr="00D84DC9">
        <w:trPr>
          <w:jc w:val="right"/>
        </w:trPr>
        <w:tc>
          <w:tcPr>
            <w:tcW w:w="1042" w:type="pct"/>
          </w:tcPr>
          <w:p w:rsidR="002063E2" w:rsidRPr="004D3DC6" w:rsidRDefault="002063E2" w:rsidP="0097447A">
            <w:pPr>
              <w:spacing w:line="276" w:lineRule="auto"/>
              <w:ind w:left="171"/>
              <w:contextualSpacing/>
              <w:rPr>
                <w:rFonts w:ascii="Verdana" w:hAnsi="Verdana"/>
                <w:i/>
                <w:sz w:val="18"/>
                <w:szCs w:val="18"/>
              </w:rPr>
            </w:pPr>
            <w:r w:rsidRPr="004D3DC6">
              <w:rPr>
                <w:rFonts w:ascii="Verdana" w:hAnsi="Verdana"/>
                <w:i/>
                <w:sz w:val="18"/>
                <w:szCs w:val="18"/>
              </w:rPr>
              <w:t>Litigation</w:t>
            </w:r>
          </w:p>
        </w:tc>
        <w:tc>
          <w:tcPr>
            <w:tcW w:w="386" w:type="pct"/>
          </w:tcPr>
          <w:p w:rsidR="002063E2" w:rsidRPr="004D3DC6" w:rsidRDefault="002063E2" w:rsidP="0097447A">
            <w:pPr>
              <w:spacing w:line="276" w:lineRule="auto"/>
              <w:contextualSpacing/>
              <w:jc w:val="center"/>
              <w:rPr>
                <w:rFonts w:ascii="Verdana" w:hAnsi="Verdana"/>
                <w:sz w:val="18"/>
                <w:szCs w:val="18"/>
              </w:rPr>
            </w:pPr>
          </w:p>
        </w:tc>
        <w:tc>
          <w:tcPr>
            <w:tcW w:w="391" w:type="pct"/>
          </w:tcPr>
          <w:p w:rsidR="002063E2" w:rsidRPr="004D3DC6" w:rsidRDefault="002063E2" w:rsidP="0097447A">
            <w:pPr>
              <w:spacing w:line="276" w:lineRule="auto"/>
              <w:contextualSpacing/>
              <w:jc w:val="center"/>
              <w:rPr>
                <w:rFonts w:ascii="Verdana" w:hAnsi="Verdana"/>
                <w:sz w:val="18"/>
                <w:szCs w:val="18"/>
              </w:rPr>
            </w:pPr>
          </w:p>
        </w:tc>
        <w:tc>
          <w:tcPr>
            <w:tcW w:w="557" w:type="pct"/>
          </w:tcPr>
          <w:p w:rsidR="002063E2" w:rsidRPr="004D3DC6" w:rsidRDefault="002063E2" w:rsidP="0097447A">
            <w:pPr>
              <w:spacing w:line="276" w:lineRule="auto"/>
              <w:contextualSpacing/>
              <w:jc w:val="center"/>
              <w:rPr>
                <w:rFonts w:ascii="Verdana" w:hAnsi="Verdana"/>
                <w:sz w:val="18"/>
                <w:szCs w:val="18"/>
              </w:rPr>
            </w:pPr>
          </w:p>
        </w:tc>
        <w:tc>
          <w:tcPr>
            <w:tcW w:w="545" w:type="pct"/>
          </w:tcPr>
          <w:p w:rsidR="002063E2" w:rsidRPr="004D3DC6" w:rsidRDefault="002063E2" w:rsidP="0097447A">
            <w:pPr>
              <w:spacing w:line="276" w:lineRule="auto"/>
              <w:contextualSpacing/>
              <w:jc w:val="center"/>
              <w:rPr>
                <w:rFonts w:ascii="Verdana" w:hAnsi="Verdana"/>
                <w:sz w:val="18"/>
                <w:szCs w:val="18"/>
              </w:rPr>
            </w:pPr>
          </w:p>
        </w:tc>
        <w:tc>
          <w:tcPr>
            <w:tcW w:w="464" w:type="pct"/>
          </w:tcPr>
          <w:p w:rsidR="002063E2" w:rsidRPr="004D3DC6" w:rsidRDefault="002063E2" w:rsidP="0097447A">
            <w:pPr>
              <w:spacing w:line="276" w:lineRule="auto"/>
              <w:contextualSpacing/>
              <w:jc w:val="center"/>
              <w:rPr>
                <w:rFonts w:ascii="Verdana" w:hAnsi="Verdana"/>
                <w:sz w:val="18"/>
                <w:szCs w:val="18"/>
              </w:rPr>
            </w:pPr>
          </w:p>
        </w:tc>
        <w:tc>
          <w:tcPr>
            <w:tcW w:w="589" w:type="pct"/>
          </w:tcPr>
          <w:p w:rsidR="002063E2" w:rsidRPr="004D3DC6" w:rsidRDefault="002063E2" w:rsidP="0097447A">
            <w:pPr>
              <w:spacing w:line="276" w:lineRule="auto"/>
              <w:contextualSpacing/>
              <w:jc w:val="center"/>
              <w:rPr>
                <w:rFonts w:ascii="Verdana" w:hAnsi="Verdana"/>
                <w:sz w:val="18"/>
                <w:szCs w:val="18"/>
              </w:rPr>
            </w:pPr>
          </w:p>
        </w:tc>
        <w:tc>
          <w:tcPr>
            <w:tcW w:w="479" w:type="pct"/>
          </w:tcPr>
          <w:p w:rsidR="002063E2" w:rsidRPr="004D3DC6" w:rsidRDefault="002063E2" w:rsidP="0097447A">
            <w:pPr>
              <w:spacing w:line="276" w:lineRule="auto"/>
              <w:contextualSpacing/>
              <w:jc w:val="center"/>
              <w:rPr>
                <w:rFonts w:ascii="Verdana" w:hAnsi="Verdana"/>
                <w:sz w:val="18"/>
                <w:szCs w:val="18"/>
              </w:rPr>
            </w:pPr>
          </w:p>
        </w:tc>
        <w:tc>
          <w:tcPr>
            <w:tcW w:w="547" w:type="pct"/>
          </w:tcPr>
          <w:p w:rsidR="002063E2" w:rsidRPr="004D3DC6" w:rsidRDefault="002063E2" w:rsidP="0097447A">
            <w:pPr>
              <w:spacing w:line="276" w:lineRule="auto"/>
              <w:contextualSpacing/>
              <w:jc w:val="center"/>
              <w:rPr>
                <w:rFonts w:ascii="Verdana" w:hAnsi="Verdana"/>
                <w:sz w:val="18"/>
                <w:szCs w:val="18"/>
              </w:rPr>
            </w:pPr>
          </w:p>
        </w:tc>
      </w:tr>
    </w:tbl>
    <w:p w:rsidR="002063E2" w:rsidRPr="004D3DC6" w:rsidRDefault="002063E2" w:rsidP="0097447A">
      <w:pPr>
        <w:spacing w:after="0" w:line="276" w:lineRule="auto"/>
        <w:ind w:left="-851" w:right="-602"/>
        <w:contextualSpacing/>
        <w:rPr>
          <w:rFonts w:ascii="Verdana" w:hAnsi="Verdana"/>
          <w:sz w:val="18"/>
          <w:szCs w:val="18"/>
        </w:rPr>
      </w:pPr>
    </w:p>
    <w:p w:rsidR="002063E2" w:rsidRPr="004D3DC6" w:rsidRDefault="002063E2" w:rsidP="0097447A">
      <w:pPr>
        <w:spacing w:after="0" w:line="276" w:lineRule="auto"/>
        <w:contextualSpacing/>
        <w:rPr>
          <w:rFonts w:ascii="Verdana" w:hAnsi="Verdana"/>
          <w:sz w:val="18"/>
          <w:szCs w:val="18"/>
        </w:rPr>
      </w:pPr>
      <w:r w:rsidRPr="004D3DC6">
        <w:rPr>
          <w:rFonts w:ascii="Verdana" w:hAnsi="Verdana"/>
          <w:sz w:val="18"/>
          <w:szCs w:val="18"/>
        </w:rPr>
        <w:br w:type="page"/>
      </w:r>
    </w:p>
    <w:p w:rsidR="002063E2" w:rsidRPr="00320EF1" w:rsidRDefault="002063E2" w:rsidP="0097447A">
      <w:pPr>
        <w:pStyle w:val="Bijschrift"/>
        <w:keepNext/>
        <w:spacing w:after="0" w:line="276" w:lineRule="auto"/>
        <w:contextualSpacing/>
        <w:jc w:val="center"/>
        <w:rPr>
          <w:rFonts w:ascii="Verdana" w:hAnsi="Verdana"/>
          <w:b/>
          <w:i w:val="0"/>
          <w:color w:val="auto"/>
          <w:sz w:val="16"/>
        </w:rPr>
      </w:pPr>
      <w:r w:rsidRPr="00320EF1">
        <w:rPr>
          <w:rFonts w:ascii="Verdana" w:hAnsi="Verdana"/>
          <w:b/>
          <w:i w:val="0"/>
          <w:color w:val="auto"/>
          <w:sz w:val="16"/>
        </w:rPr>
        <w:lastRenderedPageBreak/>
        <w:t xml:space="preserve">Table </w:t>
      </w:r>
      <w:r w:rsidRPr="00320EF1">
        <w:rPr>
          <w:rFonts w:ascii="Verdana" w:hAnsi="Verdana"/>
          <w:b/>
          <w:i w:val="0"/>
          <w:color w:val="auto"/>
          <w:sz w:val="16"/>
        </w:rPr>
        <w:fldChar w:fldCharType="begin"/>
      </w:r>
      <w:r w:rsidRPr="00320EF1">
        <w:rPr>
          <w:rFonts w:ascii="Verdana" w:hAnsi="Verdana"/>
          <w:b/>
          <w:i w:val="0"/>
          <w:color w:val="auto"/>
          <w:sz w:val="16"/>
        </w:rPr>
        <w:instrText xml:space="preserve"> SEQ Table \* ARABIC </w:instrText>
      </w:r>
      <w:r w:rsidRPr="00320EF1">
        <w:rPr>
          <w:rFonts w:ascii="Verdana" w:hAnsi="Verdana"/>
          <w:b/>
          <w:i w:val="0"/>
          <w:color w:val="auto"/>
          <w:sz w:val="16"/>
        </w:rPr>
        <w:fldChar w:fldCharType="separate"/>
      </w:r>
      <w:r w:rsidR="00AF2698">
        <w:rPr>
          <w:rFonts w:ascii="Verdana" w:hAnsi="Verdana"/>
          <w:b/>
          <w:i w:val="0"/>
          <w:noProof/>
          <w:color w:val="auto"/>
          <w:sz w:val="16"/>
        </w:rPr>
        <w:t>2</w:t>
      </w:r>
      <w:r w:rsidRPr="00320EF1">
        <w:rPr>
          <w:rFonts w:ascii="Verdana" w:hAnsi="Verdana"/>
          <w:b/>
          <w:i w:val="0"/>
          <w:color w:val="auto"/>
          <w:sz w:val="16"/>
        </w:rPr>
        <w:fldChar w:fldCharType="end"/>
      </w:r>
      <w:r w:rsidRPr="00320EF1">
        <w:rPr>
          <w:rFonts w:ascii="Verdana" w:hAnsi="Verdana"/>
          <w:b/>
          <w:i w:val="0"/>
          <w:color w:val="auto"/>
          <w:sz w:val="16"/>
        </w:rPr>
        <w:t xml:space="preserve">: </w:t>
      </w:r>
      <w:r w:rsidR="00DF1A27" w:rsidRPr="00320EF1">
        <w:rPr>
          <w:rFonts w:ascii="Verdana" w:hAnsi="Verdana"/>
          <w:b/>
          <w:i w:val="0"/>
          <w:color w:val="auto"/>
          <w:sz w:val="16"/>
        </w:rPr>
        <w:t xml:space="preserve">Potential impacts for each policy instrument </w:t>
      </w:r>
      <w:r w:rsidRPr="00320EF1">
        <w:rPr>
          <w:rFonts w:ascii="Verdana" w:hAnsi="Verdana"/>
          <w:b/>
          <w:i w:val="0"/>
          <w:color w:val="auto"/>
          <w:sz w:val="16"/>
        </w:rPr>
        <w:t>(cont.)</w:t>
      </w:r>
    </w:p>
    <w:tbl>
      <w:tblPr>
        <w:tblStyle w:val="Tabelraster"/>
        <w:tblW w:w="5000" w:type="pct"/>
        <w:tblLayout w:type="fixed"/>
        <w:tblLook w:val="04A0" w:firstRow="1" w:lastRow="0" w:firstColumn="1" w:lastColumn="0" w:noHBand="0" w:noVBand="1"/>
      </w:tblPr>
      <w:tblGrid>
        <w:gridCol w:w="2681"/>
        <w:gridCol w:w="1422"/>
        <w:gridCol w:w="1562"/>
        <w:gridCol w:w="1276"/>
        <w:gridCol w:w="897"/>
        <w:gridCol w:w="1089"/>
        <w:gridCol w:w="1559"/>
        <w:gridCol w:w="1219"/>
        <w:gridCol w:w="1289"/>
      </w:tblGrid>
      <w:tr w:rsidR="002063E2" w:rsidRPr="004D3DC6" w:rsidTr="00D84DC9">
        <w:tc>
          <w:tcPr>
            <w:tcW w:w="1032" w:type="pct"/>
          </w:tcPr>
          <w:p w:rsidR="002063E2" w:rsidRPr="004D3DC6" w:rsidRDefault="002063E2" w:rsidP="0097447A">
            <w:pPr>
              <w:spacing w:line="276" w:lineRule="auto"/>
              <w:contextualSpacing/>
              <w:rPr>
                <w:rFonts w:ascii="Verdana" w:hAnsi="Verdana"/>
                <w:sz w:val="18"/>
                <w:szCs w:val="18"/>
              </w:rPr>
            </w:pPr>
            <w:r w:rsidRPr="004D3DC6">
              <w:rPr>
                <w:rFonts w:ascii="Verdana" w:hAnsi="Verdana"/>
                <w:sz w:val="18"/>
                <w:szCs w:val="18"/>
              </w:rPr>
              <w:br w:type="page"/>
            </w:r>
            <w:r w:rsidRPr="004D3DC6">
              <w:rPr>
                <w:rFonts w:ascii="Verdana" w:hAnsi="Verdana"/>
                <w:sz w:val="18"/>
                <w:szCs w:val="18"/>
              </w:rPr>
              <w:br w:type="page"/>
            </w:r>
          </w:p>
        </w:tc>
        <w:tc>
          <w:tcPr>
            <w:tcW w:w="547" w:type="pct"/>
            <w:vAlign w:val="center"/>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Credit management education</w:t>
            </w:r>
          </w:p>
        </w:tc>
        <w:tc>
          <w:tcPr>
            <w:tcW w:w="601" w:type="pct"/>
            <w:vAlign w:val="center"/>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Unfair contractual terms and the role of business organisations</w:t>
            </w:r>
          </w:p>
        </w:tc>
        <w:tc>
          <w:tcPr>
            <w:tcW w:w="491" w:type="pct"/>
            <w:vAlign w:val="center"/>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Awareness raising activities</w:t>
            </w:r>
          </w:p>
        </w:tc>
        <w:tc>
          <w:tcPr>
            <w:tcW w:w="345" w:type="pct"/>
            <w:vAlign w:val="center"/>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Labels and prizes</w:t>
            </w:r>
          </w:p>
        </w:tc>
        <w:tc>
          <w:tcPr>
            <w:tcW w:w="419" w:type="pct"/>
            <w:vAlign w:val="center"/>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Working groups</w:t>
            </w:r>
          </w:p>
        </w:tc>
        <w:tc>
          <w:tcPr>
            <w:tcW w:w="600" w:type="pct"/>
            <w:vAlign w:val="center"/>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Compensation for recovery costs proportional to the size of the debt</w:t>
            </w:r>
          </w:p>
        </w:tc>
        <w:tc>
          <w:tcPr>
            <w:tcW w:w="469" w:type="pct"/>
            <w:vAlign w:val="center"/>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Legal provisions on the retention of title</w:t>
            </w:r>
          </w:p>
        </w:tc>
        <w:tc>
          <w:tcPr>
            <w:tcW w:w="496" w:type="pct"/>
            <w:vAlign w:val="center"/>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Tax regulations</w:t>
            </w:r>
          </w:p>
        </w:tc>
      </w:tr>
      <w:tr w:rsidR="00D84DC9" w:rsidRPr="004D3DC6" w:rsidTr="00D84DC9">
        <w:tc>
          <w:tcPr>
            <w:tcW w:w="5000" w:type="pct"/>
            <w:gridSpan w:val="9"/>
            <w:shd w:val="clear" w:color="auto" w:fill="D9D9D9" w:themeFill="background1" w:themeFillShade="D9"/>
          </w:tcPr>
          <w:p w:rsidR="00D84DC9" w:rsidRPr="004D3DC6" w:rsidRDefault="00D84DC9" w:rsidP="0097447A">
            <w:pPr>
              <w:spacing w:line="276" w:lineRule="auto"/>
              <w:contextualSpacing/>
              <w:rPr>
                <w:rFonts w:ascii="Verdana" w:hAnsi="Verdana"/>
                <w:sz w:val="18"/>
                <w:szCs w:val="18"/>
              </w:rPr>
            </w:pPr>
            <w:r w:rsidRPr="004D3DC6">
              <w:rPr>
                <w:rFonts w:ascii="Verdana" w:hAnsi="Verdana"/>
                <w:b/>
                <w:sz w:val="18"/>
                <w:szCs w:val="18"/>
              </w:rPr>
              <w:t>Society</w:t>
            </w:r>
          </w:p>
        </w:tc>
      </w:tr>
      <w:tr w:rsidR="002063E2" w:rsidRPr="004D3DC6" w:rsidTr="00D84DC9">
        <w:tc>
          <w:tcPr>
            <w:tcW w:w="1032" w:type="pct"/>
          </w:tcPr>
          <w:p w:rsidR="002063E2" w:rsidRPr="004D3DC6" w:rsidRDefault="002063E2" w:rsidP="0097447A">
            <w:pPr>
              <w:spacing w:line="276" w:lineRule="auto"/>
              <w:contextualSpacing/>
              <w:rPr>
                <w:rFonts w:ascii="Verdana" w:hAnsi="Verdana"/>
                <w:sz w:val="18"/>
                <w:szCs w:val="18"/>
              </w:rPr>
            </w:pPr>
            <w:r w:rsidRPr="004D3DC6">
              <w:rPr>
                <w:rFonts w:ascii="Verdana" w:hAnsi="Verdana"/>
                <w:sz w:val="18"/>
                <w:szCs w:val="18"/>
              </w:rPr>
              <w:t>Employment, investment, economic growth</w:t>
            </w:r>
          </w:p>
        </w:tc>
        <w:tc>
          <w:tcPr>
            <w:tcW w:w="547" w:type="pct"/>
            <w:vAlign w:val="center"/>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601" w:type="pct"/>
            <w:vAlign w:val="center"/>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91" w:type="pct"/>
            <w:vAlign w:val="center"/>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345" w:type="pct"/>
            <w:vAlign w:val="center"/>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19" w:type="pct"/>
            <w:vAlign w:val="center"/>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600" w:type="pct"/>
            <w:vAlign w:val="center"/>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69" w:type="pct"/>
            <w:vAlign w:val="center"/>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96" w:type="pct"/>
            <w:vAlign w:val="center"/>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r>
      <w:tr w:rsidR="00D84DC9" w:rsidRPr="004D3DC6" w:rsidTr="00D84DC9">
        <w:tc>
          <w:tcPr>
            <w:tcW w:w="5000" w:type="pct"/>
            <w:gridSpan w:val="9"/>
            <w:shd w:val="clear" w:color="auto" w:fill="D9D9D9" w:themeFill="background1" w:themeFillShade="D9"/>
          </w:tcPr>
          <w:p w:rsidR="00D84DC9" w:rsidRPr="004D3DC6" w:rsidRDefault="00D84DC9" w:rsidP="0097447A">
            <w:pPr>
              <w:spacing w:line="276" w:lineRule="auto"/>
              <w:contextualSpacing/>
              <w:rPr>
                <w:rFonts w:ascii="Verdana" w:hAnsi="Verdana"/>
                <w:sz w:val="18"/>
                <w:szCs w:val="18"/>
              </w:rPr>
            </w:pPr>
            <w:r w:rsidRPr="004D3DC6">
              <w:rPr>
                <w:rFonts w:ascii="Verdana" w:hAnsi="Verdana"/>
                <w:b/>
                <w:sz w:val="18"/>
                <w:szCs w:val="18"/>
              </w:rPr>
              <w:t>Markets</w:t>
            </w:r>
          </w:p>
        </w:tc>
      </w:tr>
      <w:tr w:rsidR="002063E2" w:rsidRPr="004D3DC6" w:rsidTr="00D84DC9">
        <w:tc>
          <w:tcPr>
            <w:tcW w:w="1032" w:type="pct"/>
          </w:tcPr>
          <w:p w:rsidR="002063E2" w:rsidRPr="004D3DC6" w:rsidRDefault="002063E2" w:rsidP="0097447A">
            <w:pPr>
              <w:spacing w:line="276" w:lineRule="auto"/>
              <w:contextualSpacing/>
              <w:rPr>
                <w:rFonts w:ascii="Verdana" w:hAnsi="Verdana"/>
                <w:sz w:val="18"/>
                <w:szCs w:val="18"/>
              </w:rPr>
            </w:pPr>
            <w:r w:rsidRPr="004D3DC6">
              <w:rPr>
                <w:rFonts w:ascii="Verdana" w:hAnsi="Verdana"/>
                <w:sz w:val="18"/>
                <w:szCs w:val="18"/>
              </w:rPr>
              <w:t>Trust</w:t>
            </w:r>
          </w:p>
        </w:tc>
        <w:tc>
          <w:tcPr>
            <w:tcW w:w="547"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601"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91"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345"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19"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600"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69"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96"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r>
      <w:tr w:rsidR="00D84DC9" w:rsidRPr="004D3DC6" w:rsidTr="00D84DC9">
        <w:tc>
          <w:tcPr>
            <w:tcW w:w="5000" w:type="pct"/>
            <w:gridSpan w:val="9"/>
            <w:shd w:val="clear" w:color="auto" w:fill="D9D9D9" w:themeFill="background1" w:themeFillShade="D9"/>
          </w:tcPr>
          <w:p w:rsidR="00D84DC9" w:rsidRPr="004D3DC6" w:rsidRDefault="00D84DC9" w:rsidP="0097447A">
            <w:pPr>
              <w:spacing w:line="276" w:lineRule="auto"/>
              <w:contextualSpacing/>
              <w:rPr>
                <w:rFonts w:ascii="Verdana" w:hAnsi="Verdana"/>
                <w:sz w:val="18"/>
                <w:szCs w:val="18"/>
              </w:rPr>
            </w:pPr>
            <w:r w:rsidRPr="004D3DC6">
              <w:rPr>
                <w:rFonts w:ascii="Verdana" w:hAnsi="Verdana"/>
                <w:b/>
                <w:sz w:val="18"/>
                <w:szCs w:val="18"/>
              </w:rPr>
              <w:t>Companies</w:t>
            </w:r>
          </w:p>
        </w:tc>
      </w:tr>
      <w:tr w:rsidR="002063E2" w:rsidRPr="004D3DC6" w:rsidTr="00D84DC9">
        <w:tc>
          <w:tcPr>
            <w:tcW w:w="1032" w:type="pct"/>
          </w:tcPr>
          <w:p w:rsidR="002063E2" w:rsidRPr="004D3DC6" w:rsidRDefault="002063E2" w:rsidP="0097447A">
            <w:pPr>
              <w:spacing w:line="276" w:lineRule="auto"/>
              <w:contextualSpacing/>
              <w:rPr>
                <w:rFonts w:ascii="Verdana" w:hAnsi="Verdana"/>
                <w:sz w:val="18"/>
                <w:szCs w:val="18"/>
              </w:rPr>
            </w:pPr>
            <w:r w:rsidRPr="004D3DC6">
              <w:rPr>
                <w:rFonts w:ascii="Verdana" w:hAnsi="Verdana"/>
                <w:sz w:val="18"/>
                <w:szCs w:val="18"/>
              </w:rPr>
              <w:t>Information costs</w:t>
            </w:r>
          </w:p>
        </w:tc>
        <w:tc>
          <w:tcPr>
            <w:tcW w:w="547" w:type="pct"/>
          </w:tcPr>
          <w:p w:rsidR="002063E2" w:rsidRPr="004D3DC6" w:rsidRDefault="002063E2" w:rsidP="0097447A">
            <w:pPr>
              <w:spacing w:line="276" w:lineRule="auto"/>
              <w:contextualSpacing/>
              <w:jc w:val="center"/>
              <w:rPr>
                <w:rFonts w:ascii="Verdana" w:hAnsi="Verdana"/>
                <w:sz w:val="18"/>
                <w:szCs w:val="18"/>
              </w:rPr>
            </w:pPr>
          </w:p>
        </w:tc>
        <w:tc>
          <w:tcPr>
            <w:tcW w:w="601"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91"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345" w:type="pct"/>
          </w:tcPr>
          <w:p w:rsidR="002063E2" w:rsidRPr="004D3DC6" w:rsidRDefault="002063E2" w:rsidP="0097447A">
            <w:pPr>
              <w:spacing w:line="276" w:lineRule="auto"/>
              <w:contextualSpacing/>
              <w:jc w:val="center"/>
              <w:rPr>
                <w:rFonts w:ascii="Verdana" w:hAnsi="Verdana"/>
                <w:sz w:val="18"/>
                <w:szCs w:val="18"/>
              </w:rPr>
            </w:pPr>
          </w:p>
        </w:tc>
        <w:tc>
          <w:tcPr>
            <w:tcW w:w="419" w:type="pct"/>
          </w:tcPr>
          <w:p w:rsidR="002063E2" w:rsidRPr="004D3DC6" w:rsidRDefault="002063E2" w:rsidP="0097447A">
            <w:pPr>
              <w:spacing w:line="276" w:lineRule="auto"/>
              <w:contextualSpacing/>
              <w:jc w:val="center"/>
              <w:rPr>
                <w:rFonts w:ascii="Verdana" w:hAnsi="Verdana"/>
                <w:sz w:val="18"/>
                <w:szCs w:val="18"/>
              </w:rPr>
            </w:pPr>
          </w:p>
        </w:tc>
        <w:tc>
          <w:tcPr>
            <w:tcW w:w="600" w:type="pct"/>
          </w:tcPr>
          <w:p w:rsidR="002063E2" w:rsidRPr="004D3DC6" w:rsidRDefault="002063E2" w:rsidP="0097447A">
            <w:pPr>
              <w:spacing w:line="276" w:lineRule="auto"/>
              <w:contextualSpacing/>
              <w:jc w:val="center"/>
              <w:rPr>
                <w:rFonts w:ascii="Verdana" w:hAnsi="Verdana"/>
                <w:sz w:val="18"/>
                <w:szCs w:val="18"/>
              </w:rPr>
            </w:pPr>
          </w:p>
        </w:tc>
        <w:tc>
          <w:tcPr>
            <w:tcW w:w="469" w:type="pct"/>
          </w:tcPr>
          <w:p w:rsidR="002063E2" w:rsidRPr="004D3DC6" w:rsidRDefault="002063E2" w:rsidP="0097447A">
            <w:pPr>
              <w:spacing w:line="276" w:lineRule="auto"/>
              <w:contextualSpacing/>
              <w:jc w:val="center"/>
              <w:rPr>
                <w:rFonts w:ascii="Verdana" w:hAnsi="Verdana"/>
                <w:sz w:val="18"/>
                <w:szCs w:val="18"/>
              </w:rPr>
            </w:pPr>
          </w:p>
        </w:tc>
        <w:tc>
          <w:tcPr>
            <w:tcW w:w="496" w:type="pct"/>
          </w:tcPr>
          <w:p w:rsidR="002063E2" w:rsidRPr="004D3DC6" w:rsidRDefault="002063E2" w:rsidP="0097447A">
            <w:pPr>
              <w:spacing w:line="276" w:lineRule="auto"/>
              <w:contextualSpacing/>
              <w:jc w:val="center"/>
              <w:rPr>
                <w:rFonts w:ascii="Verdana" w:hAnsi="Verdana"/>
                <w:sz w:val="18"/>
                <w:szCs w:val="18"/>
              </w:rPr>
            </w:pPr>
          </w:p>
        </w:tc>
      </w:tr>
      <w:tr w:rsidR="002063E2" w:rsidRPr="004D3DC6" w:rsidTr="00D84DC9">
        <w:tc>
          <w:tcPr>
            <w:tcW w:w="1032" w:type="pct"/>
          </w:tcPr>
          <w:p w:rsidR="002063E2" w:rsidRPr="004D3DC6" w:rsidRDefault="002063E2" w:rsidP="0097447A">
            <w:pPr>
              <w:spacing w:line="276" w:lineRule="auto"/>
              <w:contextualSpacing/>
              <w:rPr>
                <w:rFonts w:ascii="Verdana" w:hAnsi="Verdana"/>
                <w:sz w:val="18"/>
                <w:szCs w:val="18"/>
              </w:rPr>
            </w:pPr>
            <w:r w:rsidRPr="004D3DC6">
              <w:rPr>
                <w:rFonts w:ascii="Verdana" w:hAnsi="Verdana"/>
                <w:sz w:val="18"/>
                <w:szCs w:val="18"/>
              </w:rPr>
              <w:t>Compliance costs</w:t>
            </w:r>
          </w:p>
        </w:tc>
        <w:tc>
          <w:tcPr>
            <w:tcW w:w="547" w:type="pct"/>
          </w:tcPr>
          <w:p w:rsidR="002063E2" w:rsidRPr="004D3DC6" w:rsidRDefault="002063E2" w:rsidP="0097447A">
            <w:pPr>
              <w:spacing w:line="276" w:lineRule="auto"/>
              <w:contextualSpacing/>
              <w:jc w:val="center"/>
              <w:rPr>
                <w:rFonts w:ascii="Verdana" w:hAnsi="Verdana"/>
                <w:sz w:val="18"/>
                <w:szCs w:val="18"/>
              </w:rPr>
            </w:pPr>
          </w:p>
        </w:tc>
        <w:tc>
          <w:tcPr>
            <w:tcW w:w="601" w:type="pct"/>
          </w:tcPr>
          <w:p w:rsidR="002063E2" w:rsidRPr="004D3DC6" w:rsidRDefault="002063E2" w:rsidP="0097447A">
            <w:pPr>
              <w:spacing w:line="276" w:lineRule="auto"/>
              <w:contextualSpacing/>
              <w:jc w:val="center"/>
              <w:rPr>
                <w:rFonts w:ascii="Verdana" w:hAnsi="Verdana"/>
                <w:sz w:val="18"/>
                <w:szCs w:val="18"/>
              </w:rPr>
            </w:pPr>
          </w:p>
        </w:tc>
        <w:tc>
          <w:tcPr>
            <w:tcW w:w="491" w:type="pct"/>
          </w:tcPr>
          <w:p w:rsidR="002063E2" w:rsidRPr="004D3DC6" w:rsidRDefault="002063E2" w:rsidP="0097447A">
            <w:pPr>
              <w:spacing w:line="276" w:lineRule="auto"/>
              <w:contextualSpacing/>
              <w:jc w:val="center"/>
              <w:rPr>
                <w:rFonts w:ascii="Verdana" w:hAnsi="Verdana"/>
                <w:sz w:val="18"/>
                <w:szCs w:val="18"/>
              </w:rPr>
            </w:pPr>
          </w:p>
        </w:tc>
        <w:tc>
          <w:tcPr>
            <w:tcW w:w="345" w:type="pct"/>
          </w:tcPr>
          <w:p w:rsidR="002063E2" w:rsidRPr="004D3DC6" w:rsidRDefault="002063E2" w:rsidP="0097447A">
            <w:pPr>
              <w:spacing w:line="276" w:lineRule="auto"/>
              <w:contextualSpacing/>
              <w:jc w:val="center"/>
              <w:rPr>
                <w:rFonts w:ascii="Verdana" w:hAnsi="Verdana"/>
                <w:sz w:val="18"/>
                <w:szCs w:val="18"/>
              </w:rPr>
            </w:pPr>
          </w:p>
        </w:tc>
        <w:tc>
          <w:tcPr>
            <w:tcW w:w="419" w:type="pct"/>
          </w:tcPr>
          <w:p w:rsidR="002063E2" w:rsidRPr="004D3DC6" w:rsidRDefault="002063E2" w:rsidP="0097447A">
            <w:pPr>
              <w:spacing w:line="276" w:lineRule="auto"/>
              <w:contextualSpacing/>
              <w:jc w:val="center"/>
              <w:rPr>
                <w:rFonts w:ascii="Verdana" w:hAnsi="Verdana"/>
                <w:sz w:val="18"/>
                <w:szCs w:val="18"/>
              </w:rPr>
            </w:pPr>
          </w:p>
        </w:tc>
        <w:tc>
          <w:tcPr>
            <w:tcW w:w="600" w:type="pct"/>
          </w:tcPr>
          <w:p w:rsidR="002063E2" w:rsidRPr="004D3DC6" w:rsidRDefault="002063E2" w:rsidP="0097447A">
            <w:pPr>
              <w:spacing w:line="276" w:lineRule="auto"/>
              <w:contextualSpacing/>
              <w:jc w:val="center"/>
              <w:rPr>
                <w:rFonts w:ascii="Verdana" w:hAnsi="Verdana"/>
                <w:sz w:val="18"/>
                <w:szCs w:val="18"/>
              </w:rPr>
            </w:pPr>
          </w:p>
        </w:tc>
        <w:tc>
          <w:tcPr>
            <w:tcW w:w="469" w:type="pct"/>
          </w:tcPr>
          <w:p w:rsidR="002063E2" w:rsidRPr="004D3DC6" w:rsidRDefault="002063E2" w:rsidP="0097447A">
            <w:pPr>
              <w:spacing w:line="276" w:lineRule="auto"/>
              <w:contextualSpacing/>
              <w:jc w:val="center"/>
              <w:rPr>
                <w:rFonts w:ascii="Verdana" w:hAnsi="Verdana"/>
                <w:sz w:val="18"/>
                <w:szCs w:val="18"/>
              </w:rPr>
            </w:pPr>
          </w:p>
        </w:tc>
        <w:tc>
          <w:tcPr>
            <w:tcW w:w="496" w:type="pct"/>
          </w:tcPr>
          <w:p w:rsidR="002063E2" w:rsidRPr="004D3DC6" w:rsidRDefault="002063E2" w:rsidP="0097447A">
            <w:pPr>
              <w:spacing w:line="276" w:lineRule="auto"/>
              <w:contextualSpacing/>
              <w:jc w:val="center"/>
              <w:rPr>
                <w:rFonts w:ascii="Verdana" w:hAnsi="Verdana"/>
                <w:sz w:val="18"/>
                <w:szCs w:val="18"/>
              </w:rPr>
            </w:pPr>
          </w:p>
        </w:tc>
      </w:tr>
      <w:tr w:rsidR="002063E2" w:rsidRPr="004D3DC6" w:rsidTr="00D84DC9">
        <w:tc>
          <w:tcPr>
            <w:tcW w:w="1032" w:type="pct"/>
          </w:tcPr>
          <w:p w:rsidR="002063E2" w:rsidRPr="004D3DC6" w:rsidRDefault="002063E2" w:rsidP="0097447A">
            <w:pPr>
              <w:spacing w:line="276" w:lineRule="auto"/>
              <w:ind w:left="171"/>
              <w:contextualSpacing/>
              <w:rPr>
                <w:rFonts w:ascii="Verdana" w:hAnsi="Verdana"/>
                <w:i/>
                <w:sz w:val="18"/>
                <w:szCs w:val="18"/>
              </w:rPr>
            </w:pPr>
            <w:r w:rsidRPr="004D3DC6">
              <w:rPr>
                <w:rFonts w:ascii="Verdana" w:hAnsi="Verdana"/>
                <w:i/>
                <w:sz w:val="18"/>
                <w:szCs w:val="18"/>
              </w:rPr>
              <w:t>Administrative burdens</w:t>
            </w:r>
          </w:p>
        </w:tc>
        <w:tc>
          <w:tcPr>
            <w:tcW w:w="547" w:type="pct"/>
          </w:tcPr>
          <w:p w:rsidR="002063E2" w:rsidRPr="004D3DC6" w:rsidRDefault="002063E2" w:rsidP="0097447A">
            <w:pPr>
              <w:spacing w:line="276" w:lineRule="auto"/>
              <w:contextualSpacing/>
              <w:jc w:val="center"/>
              <w:rPr>
                <w:rFonts w:ascii="Verdana" w:hAnsi="Verdana"/>
                <w:sz w:val="18"/>
                <w:szCs w:val="18"/>
              </w:rPr>
            </w:pPr>
          </w:p>
        </w:tc>
        <w:tc>
          <w:tcPr>
            <w:tcW w:w="601" w:type="pct"/>
          </w:tcPr>
          <w:p w:rsidR="002063E2" w:rsidRPr="004D3DC6" w:rsidRDefault="002063E2" w:rsidP="0097447A">
            <w:pPr>
              <w:spacing w:line="276" w:lineRule="auto"/>
              <w:contextualSpacing/>
              <w:jc w:val="center"/>
              <w:rPr>
                <w:rFonts w:ascii="Verdana" w:hAnsi="Verdana"/>
                <w:sz w:val="18"/>
                <w:szCs w:val="18"/>
              </w:rPr>
            </w:pPr>
          </w:p>
        </w:tc>
        <w:tc>
          <w:tcPr>
            <w:tcW w:w="491" w:type="pct"/>
          </w:tcPr>
          <w:p w:rsidR="002063E2" w:rsidRPr="004D3DC6" w:rsidRDefault="002063E2" w:rsidP="0097447A">
            <w:pPr>
              <w:spacing w:line="276" w:lineRule="auto"/>
              <w:contextualSpacing/>
              <w:jc w:val="center"/>
              <w:rPr>
                <w:rFonts w:ascii="Verdana" w:hAnsi="Verdana"/>
                <w:sz w:val="18"/>
                <w:szCs w:val="18"/>
              </w:rPr>
            </w:pPr>
          </w:p>
        </w:tc>
        <w:tc>
          <w:tcPr>
            <w:tcW w:w="345"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19" w:type="pct"/>
          </w:tcPr>
          <w:p w:rsidR="002063E2" w:rsidRPr="004D3DC6" w:rsidRDefault="002063E2" w:rsidP="0097447A">
            <w:pPr>
              <w:spacing w:line="276" w:lineRule="auto"/>
              <w:contextualSpacing/>
              <w:jc w:val="center"/>
              <w:rPr>
                <w:rFonts w:ascii="Verdana" w:hAnsi="Verdana"/>
                <w:sz w:val="18"/>
                <w:szCs w:val="18"/>
              </w:rPr>
            </w:pPr>
          </w:p>
        </w:tc>
        <w:tc>
          <w:tcPr>
            <w:tcW w:w="600" w:type="pct"/>
          </w:tcPr>
          <w:p w:rsidR="002063E2" w:rsidRPr="004D3DC6" w:rsidRDefault="002063E2" w:rsidP="0097447A">
            <w:pPr>
              <w:spacing w:line="276" w:lineRule="auto"/>
              <w:contextualSpacing/>
              <w:jc w:val="center"/>
              <w:rPr>
                <w:rFonts w:ascii="Verdana" w:hAnsi="Verdana"/>
                <w:sz w:val="18"/>
                <w:szCs w:val="18"/>
              </w:rPr>
            </w:pPr>
          </w:p>
        </w:tc>
        <w:tc>
          <w:tcPr>
            <w:tcW w:w="469" w:type="pct"/>
          </w:tcPr>
          <w:p w:rsidR="002063E2" w:rsidRPr="004D3DC6" w:rsidRDefault="002063E2" w:rsidP="0097447A">
            <w:pPr>
              <w:spacing w:line="276" w:lineRule="auto"/>
              <w:contextualSpacing/>
              <w:jc w:val="center"/>
              <w:rPr>
                <w:rFonts w:ascii="Verdana" w:hAnsi="Verdana"/>
                <w:sz w:val="18"/>
                <w:szCs w:val="18"/>
              </w:rPr>
            </w:pPr>
          </w:p>
        </w:tc>
        <w:tc>
          <w:tcPr>
            <w:tcW w:w="496"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r>
      <w:tr w:rsidR="002063E2" w:rsidRPr="004D3DC6" w:rsidTr="00D84DC9">
        <w:tc>
          <w:tcPr>
            <w:tcW w:w="1032" w:type="pct"/>
          </w:tcPr>
          <w:p w:rsidR="002063E2" w:rsidRPr="004D3DC6" w:rsidRDefault="002063E2" w:rsidP="0097447A">
            <w:pPr>
              <w:spacing w:line="276" w:lineRule="auto"/>
              <w:ind w:left="171"/>
              <w:contextualSpacing/>
              <w:rPr>
                <w:rFonts w:ascii="Verdana" w:hAnsi="Verdana"/>
                <w:i/>
                <w:sz w:val="18"/>
                <w:szCs w:val="18"/>
              </w:rPr>
            </w:pPr>
            <w:r w:rsidRPr="004D3DC6">
              <w:rPr>
                <w:rFonts w:ascii="Verdana" w:hAnsi="Verdana"/>
                <w:i/>
                <w:sz w:val="18"/>
                <w:szCs w:val="18"/>
              </w:rPr>
              <w:t>Start-up or one-off costs</w:t>
            </w:r>
          </w:p>
        </w:tc>
        <w:tc>
          <w:tcPr>
            <w:tcW w:w="547"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601" w:type="pct"/>
          </w:tcPr>
          <w:p w:rsidR="002063E2" w:rsidRPr="004D3DC6" w:rsidRDefault="002063E2" w:rsidP="0097447A">
            <w:pPr>
              <w:spacing w:line="276" w:lineRule="auto"/>
              <w:contextualSpacing/>
              <w:jc w:val="center"/>
              <w:rPr>
                <w:rFonts w:ascii="Verdana" w:hAnsi="Verdana"/>
                <w:sz w:val="18"/>
                <w:szCs w:val="18"/>
              </w:rPr>
            </w:pPr>
          </w:p>
        </w:tc>
        <w:tc>
          <w:tcPr>
            <w:tcW w:w="491" w:type="pct"/>
          </w:tcPr>
          <w:p w:rsidR="002063E2" w:rsidRPr="004D3DC6" w:rsidRDefault="002063E2" w:rsidP="0097447A">
            <w:pPr>
              <w:spacing w:line="276" w:lineRule="auto"/>
              <w:contextualSpacing/>
              <w:jc w:val="center"/>
              <w:rPr>
                <w:rFonts w:ascii="Verdana" w:hAnsi="Verdana"/>
                <w:sz w:val="18"/>
                <w:szCs w:val="18"/>
              </w:rPr>
            </w:pPr>
          </w:p>
        </w:tc>
        <w:tc>
          <w:tcPr>
            <w:tcW w:w="345" w:type="pct"/>
          </w:tcPr>
          <w:p w:rsidR="002063E2" w:rsidRPr="004D3DC6" w:rsidRDefault="002063E2" w:rsidP="0097447A">
            <w:pPr>
              <w:spacing w:line="276" w:lineRule="auto"/>
              <w:contextualSpacing/>
              <w:jc w:val="center"/>
              <w:rPr>
                <w:rFonts w:ascii="Verdana" w:hAnsi="Verdana"/>
                <w:sz w:val="18"/>
                <w:szCs w:val="18"/>
              </w:rPr>
            </w:pPr>
          </w:p>
        </w:tc>
        <w:tc>
          <w:tcPr>
            <w:tcW w:w="419" w:type="pct"/>
          </w:tcPr>
          <w:p w:rsidR="002063E2" w:rsidRPr="004D3DC6" w:rsidRDefault="002063E2" w:rsidP="0097447A">
            <w:pPr>
              <w:spacing w:line="276" w:lineRule="auto"/>
              <w:contextualSpacing/>
              <w:jc w:val="center"/>
              <w:rPr>
                <w:rFonts w:ascii="Verdana" w:hAnsi="Verdana"/>
                <w:sz w:val="18"/>
                <w:szCs w:val="18"/>
              </w:rPr>
            </w:pPr>
          </w:p>
        </w:tc>
        <w:tc>
          <w:tcPr>
            <w:tcW w:w="600" w:type="pct"/>
          </w:tcPr>
          <w:p w:rsidR="002063E2" w:rsidRPr="004D3DC6" w:rsidRDefault="002063E2" w:rsidP="0097447A">
            <w:pPr>
              <w:spacing w:line="276" w:lineRule="auto"/>
              <w:contextualSpacing/>
              <w:jc w:val="center"/>
              <w:rPr>
                <w:rFonts w:ascii="Verdana" w:hAnsi="Verdana"/>
                <w:sz w:val="18"/>
                <w:szCs w:val="18"/>
              </w:rPr>
            </w:pPr>
          </w:p>
        </w:tc>
        <w:tc>
          <w:tcPr>
            <w:tcW w:w="469" w:type="pct"/>
          </w:tcPr>
          <w:p w:rsidR="002063E2" w:rsidRPr="004D3DC6" w:rsidRDefault="002063E2" w:rsidP="0097447A">
            <w:pPr>
              <w:spacing w:line="276" w:lineRule="auto"/>
              <w:contextualSpacing/>
              <w:jc w:val="center"/>
              <w:rPr>
                <w:rFonts w:ascii="Verdana" w:hAnsi="Verdana"/>
                <w:sz w:val="18"/>
                <w:szCs w:val="18"/>
              </w:rPr>
            </w:pPr>
          </w:p>
        </w:tc>
        <w:tc>
          <w:tcPr>
            <w:tcW w:w="496" w:type="pct"/>
          </w:tcPr>
          <w:p w:rsidR="002063E2" w:rsidRPr="004D3DC6" w:rsidRDefault="002063E2" w:rsidP="0097447A">
            <w:pPr>
              <w:spacing w:line="276" w:lineRule="auto"/>
              <w:contextualSpacing/>
              <w:jc w:val="center"/>
              <w:rPr>
                <w:rFonts w:ascii="Verdana" w:hAnsi="Verdana"/>
                <w:sz w:val="18"/>
                <w:szCs w:val="18"/>
              </w:rPr>
            </w:pPr>
          </w:p>
        </w:tc>
      </w:tr>
      <w:tr w:rsidR="002063E2" w:rsidRPr="004D3DC6" w:rsidTr="00D84DC9">
        <w:tc>
          <w:tcPr>
            <w:tcW w:w="1032" w:type="pct"/>
          </w:tcPr>
          <w:p w:rsidR="002063E2" w:rsidRPr="004D3DC6" w:rsidRDefault="002063E2" w:rsidP="0097447A">
            <w:pPr>
              <w:spacing w:line="276" w:lineRule="auto"/>
              <w:ind w:left="171"/>
              <w:contextualSpacing/>
              <w:rPr>
                <w:rFonts w:ascii="Verdana" w:hAnsi="Verdana"/>
                <w:i/>
                <w:sz w:val="18"/>
                <w:szCs w:val="18"/>
              </w:rPr>
            </w:pPr>
            <w:r w:rsidRPr="004D3DC6">
              <w:rPr>
                <w:rFonts w:ascii="Verdana" w:hAnsi="Verdana"/>
                <w:i/>
                <w:sz w:val="18"/>
                <w:szCs w:val="18"/>
              </w:rPr>
              <w:t>Operational or recurring costs</w:t>
            </w:r>
          </w:p>
        </w:tc>
        <w:tc>
          <w:tcPr>
            <w:tcW w:w="547" w:type="pct"/>
          </w:tcPr>
          <w:p w:rsidR="002063E2" w:rsidRPr="004D3DC6" w:rsidRDefault="002063E2" w:rsidP="0097447A">
            <w:pPr>
              <w:spacing w:line="276" w:lineRule="auto"/>
              <w:contextualSpacing/>
              <w:jc w:val="center"/>
              <w:rPr>
                <w:rFonts w:ascii="Verdana" w:hAnsi="Verdana"/>
                <w:sz w:val="18"/>
                <w:szCs w:val="18"/>
              </w:rPr>
            </w:pPr>
          </w:p>
        </w:tc>
        <w:tc>
          <w:tcPr>
            <w:tcW w:w="601" w:type="pct"/>
          </w:tcPr>
          <w:p w:rsidR="002063E2" w:rsidRPr="004D3DC6" w:rsidRDefault="002063E2" w:rsidP="0097447A">
            <w:pPr>
              <w:spacing w:line="276" w:lineRule="auto"/>
              <w:contextualSpacing/>
              <w:jc w:val="center"/>
              <w:rPr>
                <w:rFonts w:ascii="Verdana" w:hAnsi="Verdana"/>
                <w:sz w:val="18"/>
                <w:szCs w:val="18"/>
              </w:rPr>
            </w:pPr>
          </w:p>
        </w:tc>
        <w:tc>
          <w:tcPr>
            <w:tcW w:w="491" w:type="pct"/>
          </w:tcPr>
          <w:p w:rsidR="002063E2" w:rsidRPr="004D3DC6" w:rsidRDefault="002063E2" w:rsidP="0097447A">
            <w:pPr>
              <w:spacing w:line="276" w:lineRule="auto"/>
              <w:contextualSpacing/>
              <w:jc w:val="center"/>
              <w:rPr>
                <w:rFonts w:ascii="Verdana" w:hAnsi="Verdana"/>
                <w:sz w:val="18"/>
                <w:szCs w:val="18"/>
              </w:rPr>
            </w:pPr>
          </w:p>
        </w:tc>
        <w:tc>
          <w:tcPr>
            <w:tcW w:w="345"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19" w:type="pct"/>
          </w:tcPr>
          <w:p w:rsidR="002063E2" w:rsidRPr="004D3DC6" w:rsidRDefault="002063E2" w:rsidP="0097447A">
            <w:pPr>
              <w:spacing w:line="276" w:lineRule="auto"/>
              <w:contextualSpacing/>
              <w:jc w:val="center"/>
              <w:rPr>
                <w:rFonts w:ascii="Verdana" w:hAnsi="Verdana"/>
                <w:sz w:val="18"/>
                <w:szCs w:val="18"/>
              </w:rPr>
            </w:pPr>
          </w:p>
        </w:tc>
        <w:tc>
          <w:tcPr>
            <w:tcW w:w="600" w:type="pct"/>
          </w:tcPr>
          <w:p w:rsidR="002063E2" w:rsidRPr="004D3DC6" w:rsidRDefault="002063E2" w:rsidP="0097447A">
            <w:pPr>
              <w:spacing w:line="276" w:lineRule="auto"/>
              <w:contextualSpacing/>
              <w:jc w:val="center"/>
              <w:rPr>
                <w:rFonts w:ascii="Verdana" w:hAnsi="Verdana"/>
                <w:sz w:val="18"/>
                <w:szCs w:val="18"/>
              </w:rPr>
            </w:pPr>
          </w:p>
        </w:tc>
        <w:tc>
          <w:tcPr>
            <w:tcW w:w="469" w:type="pct"/>
          </w:tcPr>
          <w:p w:rsidR="002063E2" w:rsidRPr="004D3DC6" w:rsidRDefault="002063E2" w:rsidP="0097447A">
            <w:pPr>
              <w:spacing w:line="276" w:lineRule="auto"/>
              <w:contextualSpacing/>
              <w:jc w:val="center"/>
              <w:rPr>
                <w:rFonts w:ascii="Verdana" w:hAnsi="Verdana"/>
                <w:sz w:val="18"/>
                <w:szCs w:val="18"/>
              </w:rPr>
            </w:pPr>
          </w:p>
        </w:tc>
        <w:tc>
          <w:tcPr>
            <w:tcW w:w="496" w:type="pct"/>
          </w:tcPr>
          <w:p w:rsidR="002063E2" w:rsidRPr="004D3DC6" w:rsidRDefault="002063E2" w:rsidP="0097447A">
            <w:pPr>
              <w:spacing w:line="276" w:lineRule="auto"/>
              <w:contextualSpacing/>
              <w:jc w:val="center"/>
              <w:rPr>
                <w:rFonts w:ascii="Verdana" w:hAnsi="Verdana"/>
                <w:sz w:val="18"/>
                <w:szCs w:val="18"/>
              </w:rPr>
            </w:pPr>
          </w:p>
        </w:tc>
      </w:tr>
      <w:tr w:rsidR="002063E2" w:rsidRPr="004D3DC6" w:rsidTr="00D84DC9">
        <w:tc>
          <w:tcPr>
            <w:tcW w:w="1032" w:type="pct"/>
          </w:tcPr>
          <w:p w:rsidR="002063E2" w:rsidRPr="004D3DC6" w:rsidRDefault="002063E2" w:rsidP="0097447A">
            <w:pPr>
              <w:spacing w:line="276" w:lineRule="auto"/>
              <w:contextualSpacing/>
              <w:rPr>
                <w:rFonts w:ascii="Verdana" w:hAnsi="Verdana"/>
                <w:i/>
                <w:sz w:val="18"/>
                <w:szCs w:val="18"/>
              </w:rPr>
            </w:pPr>
            <w:r w:rsidRPr="004D3DC6">
              <w:rPr>
                <w:rFonts w:ascii="Verdana" w:hAnsi="Verdana"/>
                <w:sz w:val="18"/>
                <w:szCs w:val="18"/>
              </w:rPr>
              <w:t>Financial cost: interest</w:t>
            </w:r>
          </w:p>
        </w:tc>
        <w:tc>
          <w:tcPr>
            <w:tcW w:w="547"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601"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91"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345"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19"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600"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69"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96"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r>
      <w:tr w:rsidR="002063E2" w:rsidRPr="004D3DC6" w:rsidTr="00D84DC9">
        <w:tc>
          <w:tcPr>
            <w:tcW w:w="1032" w:type="pct"/>
          </w:tcPr>
          <w:p w:rsidR="002063E2" w:rsidRPr="004D3DC6" w:rsidRDefault="002063E2" w:rsidP="0097447A">
            <w:pPr>
              <w:spacing w:line="276" w:lineRule="auto"/>
              <w:contextualSpacing/>
              <w:rPr>
                <w:rFonts w:ascii="Verdana" w:hAnsi="Verdana"/>
                <w:sz w:val="18"/>
                <w:szCs w:val="18"/>
              </w:rPr>
            </w:pPr>
            <w:r w:rsidRPr="004D3DC6">
              <w:rPr>
                <w:rFonts w:ascii="Verdana" w:hAnsi="Verdana"/>
                <w:sz w:val="18"/>
                <w:szCs w:val="18"/>
              </w:rPr>
              <w:t>Delay costs</w:t>
            </w:r>
          </w:p>
        </w:tc>
        <w:tc>
          <w:tcPr>
            <w:tcW w:w="547"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601"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91"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345"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19"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600"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69"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96"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r>
      <w:tr w:rsidR="002063E2" w:rsidRPr="004D3DC6" w:rsidTr="00D84DC9">
        <w:tc>
          <w:tcPr>
            <w:tcW w:w="1032" w:type="pct"/>
          </w:tcPr>
          <w:p w:rsidR="002063E2" w:rsidRPr="004D3DC6" w:rsidRDefault="002063E2" w:rsidP="0097447A">
            <w:pPr>
              <w:spacing w:line="276" w:lineRule="auto"/>
              <w:contextualSpacing/>
              <w:rPr>
                <w:rFonts w:ascii="Verdana" w:hAnsi="Verdana"/>
                <w:sz w:val="18"/>
                <w:szCs w:val="18"/>
              </w:rPr>
            </w:pPr>
            <w:r w:rsidRPr="004D3DC6">
              <w:rPr>
                <w:rFonts w:ascii="Verdana" w:hAnsi="Verdana"/>
                <w:sz w:val="18"/>
                <w:szCs w:val="18"/>
              </w:rPr>
              <w:t>Enforcement costs</w:t>
            </w:r>
          </w:p>
        </w:tc>
        <w:tc>
          <w:tcPr>
            <w:tcW w:w="547"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601"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91"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345"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19"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600"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69"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96"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r>
      <w:tr w:rsidR="00D84DC9" w:rsidRPr="004D3DC6" w:rsidTr="00D84DC9">
        <w:tc>
          <w:tcPr>
            <w:tcW w:w="5000" w:type="pct"/>
            <w:gridSpan w:val="9"/>
            <w:shd w:val="clear" w:color="auto" w:fill="D9D9D9" w:themeFill="background1" w:themeFillShade="D9"/>
          </w:tcPr>
          <w:p w:rsidR="00D84DC9" w:rsidRPr="004D3DC6" w:rsidRDefault="00D84DC9" w:rsidP="0097447A">
            <w:pPr>
              <w:spacing w:line="276" w:lineRule="auto"/>
              <w:contextualSpacing/>
              <w:rPr>
                <w:rFonts w:ascii="Verdana" w:hAnsi="Verdana"/>
                <w:sz w:val="18"/>
                <w:szCs w:val="18"/>
              </w:rPr>
            </w:pPr>
            <w:r w:rsidRPr="004D3DC6">
              <w:rPr>
                <w:rFonts w:ascii="Verdana" w:hAnsi="Verdana"/>
                <w:b/>
                <w:sz w:val="18"/>
                <w:szCs w:val="18"/>
              </w:rPr>
              <w:t>Institutions</w:t>
            </w:r>
          </w:p>
        </w:tc>
      </w:tr>
      <w:tr w:rsidR="002063E2" w:rsidRPr="004D3DC6" w:rsidTr="00D84DC9">
        <w:tc>
          <w:tcPr>
            <w:tcW w:w="1032" w:type="pct"/>
          </w:tcPr>
          <w:p w:rsidR="002063E2" w:rsidRPr="004D3DC6" w:rsidRDefault="002063E2" w:rsidP="0097447A">
            <w:pPr>
              <w:spacing w:line="276" w:lineRule="auto"/>
              <w:contextualSpacing/>
              <w:rPr>
                <w:rFonts w:ascii="Verdana" w:hAnsi="Verdana"/>
                <w:sz w:val="18"/>
                <w:szCs w:val="18"/>
              </w:rPr>
            </w:pPr>
            <w:r w:rsidRPr="004D3DC6">
              <w:rPr>
                <w:rFonts w:ascii="Verdana" w:hAnsi="Verdana"/>
                <w:sz w:val="18"/>
                <w:szCs w:val="18"/>
              </w:rPr>
              <w:t>Administrative costs</w:t>
            </w:r>
          </w:p>
        </w:tc>
        <w:tc>
          <w:tcPr>
            <w:tcW w:w="547" w:type="pct"/>
          </w:tcPr>
          <w:p w:rsidR="002063E2" w:rsidRPr="004D3DC6" w:rsidRDefault="002063E2" w:rsidP="0097447A">
            <w:pPr>
              <w:spacing w:line="276" w:lineRule="auto"/>
              <w:contextualSpacing/>
              <w:jc w:val="center"/>
              <w:rPr>
                <w:rFonts w:ascii="Verdana" w:hAnsi="Verdana"/>
                <w:sz w:val="18"/>
                <w:szCs w:val="18"/>
              </w:rPr>
            </w:pPr>
          </w:p>
        </w:tc>
        <w:tc>
          <w:tcPr>
            <w:tcW w:w="601" w:type="pct"/>
          </w:tcPr>
          <w:p w:rsidR="002063E2" w:rsidRPr="004D3DC6" w:rsidRDefault="002063E2" w:rsidP="0097447A">
            <w:pPr>
              <w:spacing w:line="276" w:lineRule="auto"/>
              <w:contextualSpacing/>
              <w:jc w:val="center"/>
              <w:rPr>
                <w:rFonts w:ascii="Verdana" w:hAnsi="Verdana"/>
                <w:sz w:val="18"/>
                <w:szCs w:val="18"/>
              </w:rPr>
            </w:pPr>
          </w:p>
        </w:tc>
        <w:tc>
          <w:tcPr>
            <w:tcW w:w="491" w:type="pct"/>
          </w:tcPr>
          <w:p w:rsidR="002063E2" w:rsidRPr="004D3DC6" w:rsidRDefault="002063E2" w:rsidP="0097447A">
            <w:pPr>
              <w:spacing w:line="276" w:lineRule="auto"/>
              <w:contextualSpacing/>
              <w:jc w:val="center"/>
              <w:rPr>
                <w:rFonts w:ascii="Verdana" w:hAnsi="Verdana"/>
                <w:sz w:val="18"/>
                <w:szCs w:val="18"/>
              </w:rPr>
            </w:pPr>
          </w:p>
        </w:tc>
        <w:tc>
          <w:tcPr>
            <w:tcW w:w="345" w:type="pct"/>
          </w:tcPr>
          <w:p w:rsidR="002063E2" w:rsidRPr="004D3DC6" w:rsidRDefault="002063E2" w:rsidP="0097447A">
            <w:pPr>
              <w:spacing w:line="276" w:lineRule="auto"/>
              <w:contextualSpacing/>
              <w:jc w:val="center"/>
              <w:rPr>
                <w:rFonts w:ascii="Verdana" w:hAnsi="Verdana"/>
                <w:sz w:val="18"/>
                <w:szCs w:val="18"/>
              </w:rPr>
            </w:pPr>
          </w:p>
        </w:tc>
        <w:tc>
          <w:tcPr>
            <w:tcW w:w="419" w:type="pct"/>
          </w:tcPr>
          <w:p w:rsidR="002063E2" w:rsidRPr="004D3DC6" w:rsidRDefault="002063E2" w:rsidP="0097447A">
            <w:pPr>
              <w:spacing w:line="276" w:lineRule="auto"/>
              <w:contextualSpacing/>
              <w:jc w:val="center"/>
              <w:rPr>
                <w:rFonts w:ascii="Verdana" w:hAnsi="Verdana"/>
                <w:sz w:val="18"/>
                <w:szCs w:val="18"/>
              </w:rPr>
            </w:pPr>
          </w:p>
        </w:tc>
        <w:tc>
          <w:tcPr>
            <w:tcW w:w="600" w:type="pct"/>
          </w:tcPr>
          <w:p w:rsidR="002063E2" w:rsidRPr="004D3DC6" w:rsidRDefault="002063E2" w:rsidP="0097447A">
            <w:pPr>
              <w:spacing w:line="276" w:lineRule="auto"/>
              <w:contextualSpacing/>
              <w:jc w:val="center"/>
              <w:rPr>
                <w:rFonts w:ascii="Verdana" w:hAnsi="Verdana"/>
                <w:sz w:val="18"/>
                <w:szCs w:val="18"/>
              </w:rPr>
            </w:pPr>
          </w:p>
        </w:tc>
        <w:tc>
          <w:tcPr>
            <w:tcW w:w="469" w:type="pct"/>
          </w:tcPr>
          <w:p w:rsidR="002063E2" w:rsidRPr="004D3DC6" w:rsidRDefault="002063E2" w:rsidP="0097447A">
            <w:pPr>
              <w:spacing w:line="276" w:lineRule="auto"/>
              <w:contextualSpacing/>
              <w:jc w:val="center"/>
              <w:rPr>
                <w:rFonts w:ascii="Verdana" w:hAnsi="Verdana"/>
                <w:sz w:val="18"/>
                <w:szCs w:val="18"/>
              </w:rPr>
            </w:pPr>
          </w:p>
        </w:tc>
        <w:tc>
          <w:tcPr>
            <w:tcW w:w="496"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r>
      <w:tr w:rsidR="002063E2" w:rsidRPr="004D3DC6" w:rsidTr="00D84DC9">
        <w:tc>
          <w:tcPr>
            <w:tcW w:w="1032" w:type="pct"/>
          </w:tcPr>
          <w:p w:rsidR="002063E2" w:rsidRPr="004D3DC6" w:rsidRDefault="002063E2" w:rsidP="0097447A">
            <w:pPr>
              <w:spacing w:line="276" w:lineRule="auto"/>
              <w:contextualSpacing/>
              <w:rPr>
                <w:rFonts w:ascii="Verdana" w:hAnsi="Verdana"/>
                <w:sz w:val="18"/>
                <w:szCs w:val="18"/>
              </w:rPr>
            </w:pPr>
            <w:r w:rsidRPr="004D3DC6">
              <w:rPr>
                <w:rFonts w:ascii="Verdana" w:hAnsi="Verdana"/>
                <w:sz w:val="18"/>
                <w:szCs w:val="18"/>
              </w:rPr>
              <w:t>Operational costs</w:t>
            </w:r>
          </w:p>
        </w:tc>
        <w:tc>
          <w:tcPr>
            <w:tcW w:w="547" w:type="pct"/>
          </w:tcPr>
          <w:p w:rsidR="002063E2" w:rsidRPr="004D3DC6" w:rsidRDefault="002063E2" w:rsidP="0097447A">
            <w:pPr>
              <w:spacing w:line="276" w:lineRule="auto"/>
              <w:contextualSpacing/>
              <w:jc w:val="center"/>
              <w:rPr>
                <w:rFonts w:ascii="Verdana" w:hAnsi="Verdana"/>
                <w:sz w:val="18"/>
                <w:szCs w:val="18"/>
              </w:rPr>
            </w:pPr>
          </w:p>
        </w:tc>
        <w:tc>
          <w:tcPr>
            <w:tcW w:w="601" w:type="pct"/>
          </w:tcPr>
          <w:p w:rsidR="002063E2" w:rsidRPr="004D3DC6" w:rsidRDefault="002063E2" w:rsidP="0097447A">
            <w:pPr>
              <w:spacing w:line="276" w:lineRule="auto"/>
              <w:contextualSpacing/>
              <w:jc w:val="center"/>
              <w:rPr>
                <w:rFonts w:ascii="Verdana" w:hAnsi="Verdana"/>
                <w:sz w:val="18"/>
                <w:szCs w:val="18"/>
              </w:rPr>
            </w:pPr>
          </w:p>
        </w:tc>
        <w:tc>
          <w:tcPr>
            <w:tcW w:w="491"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345"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19"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600"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69" w:type="pct"/>
          </w:tcPr>
          <w:p w:rsidR="002063E2" w:rsidRPr="004D3DC6" w:rsidRDefault="002063E2" w:rsidP="0097447A">
            <w:pPr>
              <w:spacing w:line="276" w:lineRule="auto"/>
              <w:contextualSpacing/>
              <w:jc w:val="center"/>
              <w:rPr>
                <w:rFonts w:ascii="Verdana" w:hAnsi="Verdana"/>
                <w:sz w:val="18"/>
                <w:szCs w:val="18"/>
              </w:rPr>
            </w:pPr>
          </w:p>
        </w:tc>
        <w:tc>
          <w:tcPr>
            <w:tcW w:w="496"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r>
      <w:tr w:rsidR="002063E2" w:rsidRPr="004D3DC6" w:rsidTr="00D84DC9">
        <w:tc>
          <w:tcPr>
            <w:tcW w:w="1032" w:type="pct"/>
          </w:tcPr>
          <w:p w:rsidR="002063E2" w:rsidRPr="004D3DC6" w:rsidRDefault="002063E2" w:rsidP="0097447A">
            <w:pPr>
              <w:spacing w:line="276" w:lineRule="auto"/>
              <w:contextualSpacing/>
              <w:rPr>
                <w:rFonts w:ascii="Verdana" w:hAnsi="Verdana"/>
                <w:sz w:val="18"/>
                <w:szCs w:val="18"/>
              </w:rPr>
            </w:pPr>
            <w:r w:rsidRPr="004D3DC6">
              <w:rPr>
                <w:rFonts w:ascii="Verdana" w:hAnsi="Verdana"/>
                <w:sz w:val="18"/>
                <w:szCs w:val="18"/>
              </w:rPr>
              <w:t>Enforcement costs</w:t>
            </w:r>
          </w:p>
        </w:tc>
        <w:tc>
          <w:tcPr>
            <w:tcW w:w="547" w:type="pct"/>
          </w:tcPr>
          <w:p w:rsidR="002063E2" w:rsidRPr="004D3DC6" w:rsidRDefault="002063E2" w:rsidP="0097447A">
            <w:pPr>
              <w:spacing w:line="276" w:lineRule="auto"/>
              <w:contextualSpacing/>
              <w:jc w:val="center"/>
              <w:rPr>
                <w:rFonts w:ascii="Verdana" w:hAnsi="Verdana"/>
                <w:sz w:val="18"/>
                <w:szCs w:val="18"/>
              </w:rPr>
            </w:pPr>
          </w:p>
        </w:tc>
        <w:tc>
          <w:tcPr>
            <w:tcW w:w="601" w:type="pct"/>
          </w:tcPr>
          <w:p w:rsidR="002063E2" w:rsidRPr="004D3DC6" w:rsidRDefault="002063E2" w:rsidP="0097447A">
            <w:pPr>
              <w:spacing w:line="276" w:lineRule="auto"/>
              <w:contextualSpacing/>
              <w:jc w:val="center"/>
              <w:rPr>
                <w:rFonts w:ascii="Verdana" w:hAnsi="Verdana"/>
                <w:sz w:val="18"/>
                <w:szCs w:val="18"/>
              </w:rPr>
            </w:pPr>
          </w:p>
        </w:tc>
        <w:tc>
          <w:tcPr>
            <w:tcW w:w="491" w:type="pct"/>
          </w:tcPr>
          <w:p w:rsidR="002063E2" w:rsidRPr="004D3DC6" w:rsidRDefault="002063E2" w:rsidP="0097447A">
            <w:pPr>
              <w:spacing w:line="276" w:lineRule="auto"/>
              <w:contextualSpacing/>
              <w:jc w:val="center"/>
              <w:rPr>
                <w:rFonts w:ascii="Verdana" w:hAnsi="Verdana"/>
                <w:sz w:val="18"/>
                <w:szCs w:val="18"/>
              </w:rPr>
            </w:pPr>
          </w:p>
        </w:tc>
        <w:tc>
          <w:tcPr>
            <w:tcW w:w="345" w:type="pct"/>
          </w:tcPr>
          <w:p w:rsidR="002063E2" w:rsidRPr="004D3DC6" w:rsidRDefault="002063E2" w:rsidP="0097447A">
            <w:pPr>
              <w:spacing w:line="276" w:lineRule="auto"/>
              <w:contextualSpacing/>
              <w:jc w:val="center"/>
              <w:rPr>
                <w:rFonts w:ascii="Verdana" w:hAnsi="Verdana"/>
                <w:sz w:val="18"/>
                <w:szCs w:val="18"/>
              </w:rPr>
            </w:pPr>
          </w:p>
        </w:tc>
        <w:tc>
          <w:tcPr>
            <w:tcW w:w="419" w:type="pct"/>
          </w:tcPr>
          <w:p w:rsidR="002063E2" w:rsidRPr="004D3DC6" w:rsidRDefault="002063E2" w:rsidP="0097447A">
            <w:pPr>
              <w:spacing w:line="276" w:lineRule="auto"/>
              <w:contextualSpacing/>
              <w:jc w:val="center"/>
              <w:rPr>
                <w:rFonts w:ascii="Verdana" w:hAnsi="Verdana"/>
                <w:sz w:val="18"/>
                <w:szCs w:val="18"/>
              </w:rPr>
            </w:pPr>
          </w:p>
        </w:tc>
        <w:tc>
          <w:tcPr>
            <w:tcW w:w="600" w:type="pct"/>
          </w:tcPr>
          <w:p w:rsidR="002063E2" w:rsidRPr="004D3DC6" w:rsidRDefault="002063E2" w:rsidP="0097447A">
            <w:pPr>
              <w:spacing w:line="276" w:lineRule="auto"/>
              <w:contextualSpacing/>
              <w:jc w:val="center"/>
              <w:rPr>
                <w:rFonts w:ascii="Verdana" w:hAnsi="Verdana"/>
                <w:sz w:val="18"/>
                <w:szCs w:val="18"/>
              </w:rPr>
            </w:pPr>
          </w:p>
        </w:tc>
        <w:tc>
          <w:tcPr>
            <w:tcW w:w="469" w:type="pct"/>
          </w:tcPr>
          <w:p w:rsidR="002063E2" w:rsidRPr="004D3DC6" w:rsidRDefault="002063E2" w:rsidP="0097447A">
            <w:pPr>
              <w:spacing w:line="276" w:lineRule="auto"/>
              <w:contextualSpacing/>
              <w:jc w:val="center"/>
              <w:rPr>
                <w:rFonts w:ascii="Verdana" w:hAnsi="Verdana"/>
                <w:sz w:val="18"/>
                <w:szCs w:val="18"/>
              </w:rPr>
            </w:pPr>
          </w:p>
        </w:tc>
        <w:tc>
          <w:tcPr>
            <w:tcW w:w="496" w:type="pct"/>
          </w:tcPr>
          <w:p w:rsidR="002063E2" w:rsidRPr="004D3DC6" w:rsidRDefault="002063E2" w:rsidP="0097447A">
            <w:pPr>
              <w:spacing w:line="276" w:lineRule="auto"/>
              <w:contextualSpacing/>
              <w:jc w:val="center"/>
              <w:rPr>
                <w:rFonts w:ascii="Verdana" w:hAnsi="Verdana"/>
                <w:sz w:val="18"/>
                <w:szCs w:val="18"/>
              </w:rPr>
            </w:pPr>
          </w:p>
        </w:tc>
      </w:tr>
      <w:tr w:rsidR="002063E2" w:rsidRPr="004D3DC6" w:rsidTr="00D84DC9">
        <w:tc>
          <w:tcPr>
            <w:tcW w:w="1032" w:type="pct"/>
          </w:tcPr>
          <w:p w:rsidR="002063E2" w:rsidRPr="004D3DC6" w:rsidRDefault="002063E2" w:rsidP="0097447A">
            <w:pPr>
              <w:spacing w:line="276" w:lineRule="auto"/>
              <w:ind w:left="171"/>
              <w:contextualSpacing/>
              <w:rPr>
                <w:rFonts w:ascii="Verdana" w:hAnsi="Verdana"/>
                <w:i/>
                <w:sz w:val="18"/>
                <w:szCs w:val="18"/>
              </w:rPr>
            </w:pPr>
            <w:r w:rsidRPr="004D3DC6">
              <w:rPr>
                <w:rFonts w:ascii="Verdana" w:hAnsi="Verdana"/>
                <w:i/>
                <w:sz w:val="18"/>
                <w:szCs w:val="18"/>
              </w:rPr>
              <w:t>Monitoring</w:t>
            </w:r>
          </w:p>
        </w:tc>
        <w:tc>
          <w:tcPr>
            <w:tcW w:w="547" w:type="pct"/>
          </w:tcPr>
          <w:p w:rsidR="002063E2" w:rsidRPr="004D3DC6" w:rsidRDefault="002063E2" w:rsidP="0097447A">
            <w:pPr>
              <w:spacing w:line="276" w:lineRule="auto"/>
              <w:contextualSpacing/>
              <w:jc w:val="center"/>
              <w:rPr>
                <w:rFonts w:ascii="Verdana" w:hAnsi="Verdana"/>
                <w:sz w:val="18"/>
                <w:szCs w:val="18"/>
              </w:rPr>
            </w:pPr>
          </w:p>
        </w:tc>
        <w:tc>
          <w:tcPr>
            <w:tcW w:w="601" w:type="pct"/>
          </w:tcPr>
          <w:p w:rsidR="002063E2" w:rsidRPr="004D3DC6" w:rsidRDefault="002063E2" w:rsidP="0097447A">
            <w:pPr>
              <w:spacing w:line="276" w:lineRule="auto"/>
              <w:contextualSpacing/>
              <w:jc w:val="center"/>
              <w:rPr>
                <w:rFonts w:ascii="Verdana" w:hAnsi="Verdana"/>
                <w:sz w:val="18"/>
                <w:szCs w:val="18"/>
              </w:rPr>
            </w:pPr>
          </w:p>
        </w:tc>
        <w:tc>
          <w:tcPr>
            <w:tcW w:w="491" w:type="pct"/>
          </w:tcPr>
          <w:p w:rsidR="002063E2" w:rsidRPr="004D3DC6" w:rsidRDefault="002063E2" w:rsidP="0097447A">
            <w:pPr>
              <w:spacing w:line="276" w:lineRule="auto"/>
              <w:contextualSpacing/>
              <w:jc w:val="center"/>
              <w:rPr>
                <w:rFonts w:ascii="Verdana" w:hAnsi="Verdana"/>
                <w:sz w:val="18"/>
                <w:szCs w:val="18"/>
              </w:rPr>
            </w:pPr>
          </w:p>
        </w:tc>
        <w:tc>
          <w:tcPr>
            <w:tcW w:w="345" w:type="pct"/>
          </w:tcPr>
          <w:p w:rsidR="002063E2" w:rsidRPr="004D3DC6" w:rsidRDefault="002063E2" w:rsidP="0097447A">
            <w:pPr>
              <w:spacing w:line="276" w:lineRule="auto"/>
              <w:contextualSpacing/>
              <w:jc w:val="center"/>
              <w:rPr>
                <w:rFonts w:ascii="Verdana" w:hAnsi="Verdana"/>
                <w:sz w:val="18"/>
                <w:szCs w:val="18"/>
              </w:rPr>
            </w:pPr>
          </w:p>
        </w:tc>
        <w:tc>
          <w:tcPr>
            <w:tcW w:w="419" w:type="pct"/>
          </w:tcPr>
          <w:p w:rsidR="002063E2" w:rsidRPr="004D3DC6" w:rsidRDefault="002063E2" w:rsidP="0097447A">
            <w:pPr>
              <w:spacing w:line="276" w:lineRule="auto"/>
              <w:contextualSpacing/>
              <w:jc w:val="center"/>
              <w:rPr>
                <w:rFonts w:ascii="Verdana" w:hAnsi="Verdana"/>
                <w:sz w:val="18"/>
                <w:szCs w:val="18"/>
              </w:rPr>
            </w:pPr>
          </w:p>
        </w:tc>
        <w:tc>
          <w:tcPr>
            <w:tcW w:w="600" w:type="pct"/>
          </w:tcPr>
          <w:p w:rsidR="002063E2" w:rsidRPr="004D3DC6" w:rsidRDefault="002063E2" w:rsidP="0097447A">
            <w:pPr>
              <w:spacing w:line="276" w:lineRule="auto"/>
              <w:contextualSpacing/>
              <w:jc w:val="center"/>
              <w:rPr>
                <w:rFonts w:ascii="Verdana" w:hAnsi="Verdana"/>
                <w:sz w:val="18"/>
                <w:szCs w:val="18"/>
              </w:rPr>
            </w:pPr>
          </w:p>
        </w:tc>
        <w:tc>
          <w:tcPr>
            <w:tcW w:w="469" w:type="pct"/>
          </w:tcPr>
          <w:p w:rsidR="002063E2" w:rsidRPr="004D3DC6" w:rsidRDefault="002063E2" w:rsidP="0097447A">
            <w:pPr>
              <w:spacing w:line="276" w:lineRule="auto"/>
              <w:contextualSpacing/>
              <w:jc w:val="center"/>
              <w:rPr>
                <w:rFonts w:ascii="Verdana" w:hAnsi="Verdana"/>
                <w:sz w:val="18"/>
                <w:szCs w:val="18"/>
              </w:rPr>
            </w:pPr>
          </w:p>
        </w:tc>
        <w:tc>
          <w:tcPr>
            <w:tcW w:w="496" w:type="pct"/>
          </w:tcPr>
          <w:p w:rsidR="002063E2" w:rsidRPr="004D3DC6" w:rsidRDefault="002063E2" w:rsidP="0097447A">
            <w:pPr>
              <w:spacing w:line="276" w:lineRule="auto"/>
              <w:contextualSpacing/>
              <w:jc w:val="center"/>
              <w:rPr>
                <w:rFonts w:ascii="Verdana" w:hAnsi="Verdana"/>
                <w:sz w:val="18"/>
                <w:szCs w:val="18"/>
              </w:rPr>
            </w:pPr>
          </w:p>
        </w:tc>
      </w:tr>
      <w:tr w:rsidR="002063E2" w:rsidRPr="004D3DC6" w:rsidTr="00D84DC9">
        <w:tc>
          <w:tcPr>
            <w:tcW w:w="1032" w:type="pct"/>
          </w:tcPr>
          <w:p w:rsidR="002063E2" w:rsidRPr="004D3DC6" w:rsidRDefault="002063E2" w:rsidP="0097447A">
            <w:pPr>
              <w:spacing w:line="276" w:lineRule="auto"/>
              <w:ind w:left="171"/>
              <w:contextualSpacing/>
              <w:rPr>
                <w:rFonts w:ascii="Verdana" w:hAnsi="Verdana"/>
                <w:i/>
                <w:sz w:val="18"/>
                <w:szCs w:val="18"/>
              </w:rPr>
            </w:pPr>
            <w:r w:rsidRPr="004D3DC6">
              <w:rPr>
                <w:rFonts w:ascii="Verdana" w:hAnsi="Verdana"/>
                <w:i/>
                <w:sz w:val="18"/>
                <w:szCs w:val="18"/>
              </w:rPr>
              <w:t>Inspection</w:t>
            </w:r>
          </w:p>
        </w:tc>
        <w:tc>
          <w:tcPr>
            <w:tcW w:w="547" w:type="pct"/>
          </w:tcPr>
          <w:p w:rsidR="002063E2" w:rsidRPr="004D3DC6" w:rsidRDefault="002063E2" w:rsidP="0097447A">
            <w:pPr>
              <w:spacing w:line="276" w:lineRule="auto"/>
              <w:contextualSpacing/>
              <w:jc w:val="center"/>
              <w:rPr>
                <w:rFonts w:ascii="Verdana" w:hAnsi="Verdana"/>
                <w:sz w:val="18"/>
                <w:szCs w:val="18"/>
              </w:rPr>
            </w:pPr>
          </w:p>
        </w:tc>
        <w:tc>
          <w:tcPr>
            <w:tcW w:w="601" w:type="pct"/>
          </w:tcPr>
          <w:p w:rsidR="002063E2" w:rsidRPr="004D3DC6" w:rsidRDefault="002063E2" w:rsidP="0097447A">
            <w:pPr>
              <w:spacing w:line="276" w:lineRule="auto"/>
              <w:contextualSpacing/>
              <w:jc w:val="center"/>
              <w:rPr>
                <w:rFonts w:ascii="Verdana" w:hAnsi="Verdana"/>
                <w:sz w:val="18"/>
                <w:szCs w:val="18"/>
              </w:rPr>
            </w:pPr>
          </w:p>
        </w:tc>
        <w:tc>
          <w:tcPr>
            <w:tcW w:w="491" w:type="pct"/>
          </w:tcPr>
          <w:p w:rsidR="002063E2" w:rsidRPr="004D3DC6" w:rsidRDefault="002063E2" w:rsidP="0097447A">
            <w:pPr>
              <w:spacing w:line="276" w:lineRule="auto"/>
              <w:contextualSpacing/>
              <w:jc w:val="center"/>
              <w:rPr>
                <w:rFonts w:ascii="Verdana" w:hAnsi="Verdana"/>
                <w:sz w:val="18"/>
                <w:szCs w:val="18"/>
              </w:rPr>
            </w:pPr>
          </w:p>
        </w:tc>
        <w:tc>
          <w:tcPr>
            <w:tcW w:w="345" w:type="pct"/>
          </w:tcPr>
          <w:p w:rsidR="002063E2" w:rsidRPr="004D3DC6" w:rsidRDefault="002063E2" w:rsidP="0097447A">
            <w:pPr>
              <w:spacing w:line="276" w:lineRule="auto"/>
              <w:contextualSpacing/>
              <w:jc w:val="center"/>
              <w:rPr>
                <w:rFonts w:ascii="Verdana" w:hAnsi="Verdana"/>
                <w:sz w:val="18"/>
                <w:szCs w:val="18"/>
              </w:rPr>
            </w:pPr>
            <w:r w:rsidRPr="004D3DC6">
              <w:rPr>
                <w:rFonts w:ascii="Verdana" w:hAnsi="Verdana"/>
                <w:sz w:val="18"/>
                <w:szCs w:val="18"/>
              </w:rPr>
              <w:t>+</w:t>
            </w:r>
          </w:p>
        </w:tc>
        <w:tc>
          <w:tcPr>
            <w:tcW w:w="419" w:type="pct"/>
          </w:tcPr>
          <w:p w:rsidR="002063E2" w:rsidRPr="004D3DC6" w:rsidRDefault="002063E2" w:rsidP="0097447A">
            <w:pPr>
              <w:spacing w:line="276" w:lineRule="auto"/>
              <w:contextualSpacing/>
              <w:jc w:val="center"/>
              <w:rPr>
                <w:rFonts w:ascii="Verdana" w:hAnsi="Verdana"/>
                <w:sz w:val="18"/>
                <w:szCs w:val="18"/>
              </w:rPr>
            </w:pPr>
          </w:p>
        </w:tc>
        <w:tc>
          <w:tcPr>
            <w:tcW w:w="600" w:type="pct"/>
          </w:tcPr>
          <w:p w:rsidR="002063E2" w:rsidRPr="004D3DC6" w:rsidRDefault="002063E2" w:rsidP="0097447A">
            <w:pPr>
              <w:spacing w:line="276" w:lineRule="auto"/>
              <w:contextualSpacing/>
              <w:jc w:val="center"/>
              <w:rPr>
                <w:rFonts w:ascii="Verdana" w:hAnsi="Verdana"/>
                <w:sz w:val="18"/>
                <w:szCs w:val="18"/>
              </w:rPr>
            </w:pPr>
          </w:p>
        </w:tc>
        <w:tc>
          <w:tcPr>
            <w:tcW w:w="469" w:type="pct"/>
          </w:tcPr>
          <w:p w:rsidR="002063E2" w:rsidRPr="004D3DC6" w:rsidRDefault="002063E2" w:rsidP="0097447A">
            <w:pPr>
              <w:spacing w:line="276" w:lineRule="auto"/>
              <w:contextualSpacing/>
              <w:jc w:val="center"/>
              <w:rPr>
                <w:rFonts w:ascii="Verdana" w:hAnsi="Verdana"/>
                <w:sz w:val="18"/>
                <w:szCs w:val="18"/>
              </w:rPr>
            </w:pPr>
          </w:p>
        </w:tc>
        <w:tc>
          <w:tcPr>
            <w:tcW w:w="496" w:type="pct"/>
          </w:tcPr>
          <w:p w:rsidR="002063E2" w:rsidRPr="004D3DC6" w:rsidRDefault="002063E2" w:rsidP="0097447A">
            <w:pPr>
              <w:spacing w:line="276" w:lineRule="auto"/>
              <w:contextualSpacing/>
              <w:jc w:val="center"/>
              <w:rPr>
                <w:rFonts w:ascii="Verdana" w:hAnsi="Verdana"/>
                <w:sz w:val="18"/>
                <w:szCs w:val="18"/>
              </w:rPr>
            </w:pPr>
          </w:p>
        </w:tc>
      </w:tr>
      <w:tr w:rsidR="002063E2" w:rsidRPr="004D3DC6" w:rsidTr="00D84DC9">
        <w:tc>
          <w:tcPr>
            <w:tcW w:w="1032" w:type="pct"/>
          </w:tcPr>
          <w:p w:rsidR="002063E2" w:rsidRPr="004D3DC6" w:rsidRDefault="002063E2" w:rsidP="0097447A">
            <w:pPr>
              <w:spacing w:line="276" w:lineRule="auto"/>
              <w:ind w:left="171"/>
              <w:contextualSpacing/>
              <w:rPr>
                <w:rFonts w:ascii="Verdana" w:hAnsi="Verdana"/>
                <w:i/>
                <w:sz w:val="18"/>
                <w:szCs w:val="18"/>
              </w:rPr>
            </w:pPr>
            <w:r w:rsidRPr="004D3DC6">
              <w:rPr>
                <w:rFonts w:ascii="Verdana" w:hAnsi="Verdana"/>
                <w:i/>
                <w:sz w:val="18"/>
                <w:szCs w:val="18"/>
              </w:rPr>
              <w:t>Adjudication</w:t>
            </w:r>
          </w:p>
        </w:tc>
        <w:tc>
          <w:tcPr>
            <w:tcW w:w="547" w:type="pct"/>
          </w:tcPr>
          <w:p w:rsidR="002063E2" w:rsidRPr="004D3DC6" w:rsidRDefault="002063E2" w:rsidP="0097447A">
            <w:pPr>
              <w:spacing w:line="276" w:lineRule="auto"/>
              <w:contextualSpacing/>
              <w:jc w:val="center"/>
              <w:rPr>
                <w:rFonts w:ascii="Verdana" w:hAnsi="Verdana"/>
                <w:sz w:val="18"/>
                <w:szCs w:val="18"/>
              </w:rPr>
            </w:pPr>
          </w:p>
        </w:tc>
        <w:tc>
          <w:tcPr>
            <w:tcW w:w="601" w:type="pct"/>
          </w:tcPr>
          <w:p w:rsidR="002063E2" w:rsidRPr="004D3DC6" w:rsidRDefault="002063E2" w:rsidP="0097447A">
            <w:pPr>
              <w:spacing w:line="276" w:lineRule="auto"/>
              <w:contextualSpacing/>
              <w:jc w:val="center"/>
              <w:rPr>
                <w:rFonts w:ascii="Verdana" w:hAnsi="Verdana"/>
                <w:sz w:val="18"/>
                <w:szCs w:val="18"/>
              </w:rPr>
            </w:pPr>
          </w:p>
        </w:tc>
        <w:tc>
          <w:tcPr>
            <w:tcW w:w="491" w:type="pct"/>
          </w:tcPr>
          <w:p w:rsidR="002063E2" w:rsidRPr="004D3DC6" w:rsidRDefault="002063E2" w:rsidP="0097447A">
            <w:pPr>
              <w:spacing w:line="276" w:lineRule="auto"/>
              <w:contextualSpacing/>
              <w:jc w:val="center"/>
              <w:rPr>
                <w:rFonts w:ascii="Verdana" w:hAnsi="Verdana"/>
                <w:sz w:val="18"/>
                <w:szCs w:val="18"/>
              </w:rPr>
            </w:pPr>
          </w:p>
        </w:tc>
        <w:tc>
          <w:tcPr>
            <w:tcW w:w="345" w:type="pct"/>
          </w:tcPr>
          <w:p w:rsidR="002063E2" w:rsidRPr="004D3DC6" w:rsidRDefault="002063E2" w:rsidP="0097447A">
            <w:pPr>
              <w:spacing w:line="276" w:lineRule="auto"/>
              <w:contextualSpacing/>
              <w:jc w:val="center"/>
              <w:rPr>
                <w:rFonts w:ascii="Verdana" w:hAnsi="Verdana"/>
                <w:sz w:val="18"/>
                <w:szCs w:val="18"/>
              </w:rPr>
            </w:pPr>
          </w:p>
        </w:tc>
        <w:tc>
          <w:tcPr>
            <w:tcW w:w="419" w:type="pct"/>
          </w:tcPr>
          <w:p w:rsidR="002063E2" w:rsidRPr="004D3DC6" w:rsidRDefault="002063E2" w:rsidP="0097447A">
            <w:pPr>
              <w:spacing w:line="276" w:lineRule="auto"/>
              <w:contextualSpacing/>
              <w:jc w:val="center"/>
              <w:rPr>
                <w:rFonts w:ascii="Verdana" w:hAnsi="Verdana"/>
                <w:sz w:val="18"/>
                <w:szCs w:val="18"/>
              </w:rPr>
            </w:pPr>
          </w:p>
        </w:tc>
        <w:tc>
          <w:tcPr>
            <w:tcW w:w="600" w:type="pct"/>
          </w:tcPr>
          <w:p w:rsidR="002063E2" w:rsidRPr="004D3DC6" w:rsidRDefault="002063E2" w:rsidP="0097447A">
            <w:pPr>
              <w:spacing w:line="276" w:lineRule="auto"/>
              <w:contextualSpacing/>
              <w:jc w:val="center"/>
              <w:rPr>
                <w:rFonts w:ascii="Verdana" w:hAnsi="Verdana"/>
                <w:sz w:val="18"/>
                <w:szCs w:val="18"/>
              </w:rPr>
            </w:pPr>
          </w:p>
        </w:tc>
        <w:tc>
          <w:tcPr>
            <w:tcW w:w="469" w:type="pct"/>
          </w:tcPr>
          <w:p w:rsidR="002063E2" w:rsidRPr="004D3DC6" w:rsidRDefault="002063E2" w:rsidP="0097447A">
            <w:pPr>
              <w:spacing w:line="276" w:lineRule="auto"/>
              <w:contextualSpacing/>
              <w:jc w:val="center"/>
              <w:rPr>
                <w:rFonts w:ascii="Verdana" w:hAnsi="Verdana"/>
                <w:sz w:val="18"/>
                <w:szCs w:val="18"/>
              </w:rPr>
            </w:pPr>
          </w:p>
        </w:tc>
        <w:tc>
          <w:tcPr>
            <w:tcW w:w="496" w:type="pct"/>
          </w:tcPr>
          <w:p w:rsidR="002063E2" w:rsidRPr="004D3DC6" w:rsidRDefault="002063E2" w:rsidP="0097447A">
            <w:pPr>
              <w:spacing w:line="276" w:lineRule="auto"/>
              <w:contextualSpacing/>
              <w:jc w:val="center"/>
              <w:rPr>
                <w:rFonts w:ascii="Verdana" w:hAnsi="Verdana"/>
                <w:sz w:val="18"/>
                <w:szCs w:val="18"/>
              </w:rPr>
            </w:pPr>
          </w:p>
        </w:tc>
      </w:tr>
      <w:tr w:rsidR="002063E2" w:rsidRPr="004D3DC6" w:rsidTr="00D84DC9">
        <w:tc>
          <w:tcPr>
            <w:tcW w:w="1032" w:type="pct"/>
          </w:tcPr>
          <w:p w:rsidR="002063E2" w:rsidRPr="004D3DC6" w:rsidRDefault="002063E2" w:rsidP="0097447A">
            <w:pPr>
              <w:spacing w:line="276" w:lineRule="auto"/>
              <w:ind w:left="171"/>
              <w:contextualSpacing/>
              <w:rPr>
                <w:rFonts w:ascii="Verdana" w:hAnsi="Verdana"/>
                <w:i/>
                <w:sz w:val="18"/>
                <w:szCs w:val="18"/>
              </w:rPr>
            </w:pPr>
            <w:r w:rsidRPr="004D3DC6">
              <w:rPr>
                <w:rFonts w:ascii="Verdana" w:hAnsi="Verdana"/>
                <w:i/>
                <w:sz w:val="18"/>
                <w:szCs w:val="18"/>
              </w:rPr>
              <w:t>Litigation</w:t>
            </w:r>
          </w:p>
        </w:tc>
        <w:tc>
          <w:tcPr>
            <w:tcW w:w="547" w:type="pct"/>
          </w:tcPr>
          <w:p w:rsidR="002063E2" w:rsidRPr="004D3DC6" w:rsidRDefault="002063E2" w:rsidP="0097447A">
            <w:pPr>
              <w:spacing w:line="276" w:lineRule="auto"/>
              <w:contextualSpacing/>
              <w:jc w:val="center"/>
              <w:rPr>
                <w:rFonts w:ascii="Verdana" w:hAnsi="Verdana"/>
                <w:sz w:val="18"/>
                <w:szCs w:val="18"/>
              </w:rPr>
            </w:pPr>
          </w:p>
        </w:tc>
        <w:tc>
          <w:tcPr>
            <w:tcW w:w="601" w:type="pct"/>
          </w:tcPr>
          <w:p w:rsidR="002063E2" w:rsidRPr="004D3DC6" w:rsidRDefault="002063E2" w:rsidP="0097447A">
            <w:pPr>
              <w:spacing w:line="276" w:lineRule="auto"/>
              <w:contextualSpacing/>
              <w:jc w:val="center"/>
              <w:rPr>
                <w:rFonts w:ascii="Verdana" w:hAnsi="Verdana"/>
                <w:sz w:val="18"/>
                <w:szCs w:val="18"/>
              </w:rPr>
            </w:pPr>
          </w:p>
        </w:tc>
        <w:tc>
          <w:tcPr>
            <w:tcW w:w="491" w:type="pct"/>
          </w:tcPr>
          <w:p w:rsidR="002063E2" w:rsidRPr="004D3DC6" w:rsidRDefault="002063E2" w:rsidP="0097447A">
            <w:pPr>
              <w:spacing w:line="276" w:lineRule="auto"/>
              <w:contextualSpacing/>
              <w:jc w:val="center"/>
              <w:rPr>
                <w:rFonts w:ascii="Verdana" w:hAnsi="Verdana"/>
                <w:sz w:val="18"/>
                <w:szCs w:val="18"/>
              </w:rPr>
            </w:pPr>
          </w:p>
        </w:tc>
        <w:tc>
          <w:tcPr>
            <w:tcW w:w="345" w:type="pct"/>
          </w:tcPr>
          <w:p w:rsidR="002063E2" w:rsidRPr="004D3DC6" w:rsidRDefault="002063E2" w:rsidP="0097447A">
            <w:pPr>
              <w:spacing w:line="276" w:lineRule="auto"/>
              <w:contextualSpacing/>
              <w:jc w:val="center"/>
              <w:rPr>
                <w:rFonts w:ascii="Verdana" w:hAnsi="Verdana"/>
                <w:sz w:val="18"/>
                <w:szCs w:val="18"/>
              </w:rPr>
            </w:pPr>
          </w:p>
        </w:tc>
        <w:tc>
          <w:tcPr>
            <w:tcW w:w="419" w:type="pct"/>
          </w:tcPr>
          <w:p w:rsidR="002063E2" w:rsidRPr="004D3DC6" w:rsidRDefault="002063E2" w:rsidP="0097447A">
            <w:pPr>
              <w:spacing w:line="276" w:lineRule="auto"/>
              <w:contextualSpacing/>
              <w:jc w:val="center"/>
              <w:rPr>
                <w:rFonts w:ascii="Verdana" w:hAnsi="Verdana"/>
                <w:sz w:val="18"/>
                <w:szCs w:val="18"/>
              </w:rPr>
            </w:pPr>
          </w:p>
        </w:tc>
        <w:tc>
          <w:tcPr>
            <w:tcW w:w="600" w:type="pct"/>
          </w:tcPr>
          <w:p w:rsidR="002063E2" w:rsidRPr="004D3DC6" w:rsidRDefault="002063E2" w:rsidP="0097447A">
            <w:pPr>
              <w:spacing w:line="276" w:lineRule="auto"/>
              <w:contextualSpacing/>
              <w:jc w:val="center"/>
              <w:rPr>
                <w:rFonts w:ascii="Verdana" w:hAnsi="Verdana"/>
                <w:sz w:val="18"/>
                <w:szCs w:val="18"/>
              </w:rPr>
            </w:pPr>
          </w:p>
        </w:tc>
        <w:tc>
          <w:tcPr>
            <w:tcW w:w="469" w:type="pct"/>
          </w:tcPr>
          <w:p w:rsidR="002063E2" w:rsidRPr="004D3DC6" w:rsidRDefault="002063E2" w:rsidP="0097447A">
            <w:pPr>
              <w:spacing w:line="276" w:lineRule="auto"/>
              <w:contextualSpacing/>
              <w:jc w:val="center"/>
              <w:rPr>
                <w:rFonts w:ascii="Verdana" w:hAnsi="Verdana"/>
                <w:sz w:val="18"/>
                <w:szCs w:val="18"/>
              </w:rPr>
            </w:pPr>
          </w:p>
        </w:tc>
        <w:tc>
          <w:tcPr>
            <w:tcW w:w="496" w:type="pct"/>
          </w:tcPr>
          <w:p w:rsidR="002063E2" w:rsidRPr="004D3DC6" w:rsidRDefault="002063E2" w:rsidP="0097447A">
            <w:pPr>
              <w:spacing w:line="276" w:lineRule="auto"/>
              <w:contextualSpacing/>
              <w:jc w:val="center"/>
              <w:rPr>
                <w:rFonts w:ascii="Verdana" w:hAnsi="Verdana"/>
                <w:sz w:val="18"/>
                <w:szCs w:val="18"/>
              </w:rPr>
            </w:pPr>
          </w:p>
        </w:tc>
      </w:tr>
    </w:tbl>
    <w:p w:rsidR="002063E2" w:rsidRPr="004D3DC6" w:rsidRDefault="002063E2" w:rsidP="0097447A">
      <w:pPr>
        <w:spacing w:after="0" w:line="276" w:lineRule="auto"/>
        <w:ind w:left="-851" w:right="-602"/>
        <w:contextualSpacing/>
        <w:rPr>
          <w:rFonts w:ascii="Verdana" w:hAnsi="Verdana"/>
          <w:sz w:val="18"/>
          <w:szCs w:val="18"/>
        </w:rPr>
      </w:pPr>
    </w:p>
    <w:p w:rsidR="002063E2" w:rsidRPr="004D3DC6" w:rsidRDefault="002063E2" w:rsidP="0097447A">
      <w:pPr>
        <w:spacing w:after="0" w:line="276" w:lineRule="auto"/>
        <w:ind w:left="-851" w:right="-602"/>
        <w:contextualSpacing/>
        <w:rPr>
          <w:rFonts w:ascii="Verdana" w:hAnsi="Verdana"/>
          <w:sz w:val="18"/>
          <w:szCs w:val="18"/>
        </w:rPr>
        <w:sectPr w:rsidR="002063E2" w:rsidRPr="004D3DC6" w:rsidSect="00BD1A89">
          <w:pgSz w:w="15840" w:h="12240" w:orient="landscape"/>
          <w:pgMar w:top="1418" w:right="1418" w:bottom="1418" w:left="1418" w:header="709" w:footer="709" w:gutter="0"/>
          <w:cols w:space="708"/>
          <w:docGrid w:linePitch="360"/>
        </w:sectPr>
      </w:pPr>
    </w:p>
    <w:p w:rsidR="002063E2" w:rsidRDefault="00B12091" w:rsidP="0097447A">
      <w:pPr>
        <w:pStyle w:val="Geenafstand"/>
        <w:spacing w:line="276" w:lineRule="auto"/>
        <w:contextualSpacing/>
        <w:rPr>
          <w:rFonts w:ascii="Verdana" w:hAnsi="Verdana"/>
          <w:b/>
          <w:color w:val="4472C4" w:themeColor="accent5"/>
          <w:sz w:val="20"/>
          <w:szCs w:val="18"/>
          <w:lang w:val="en-GB"/>
        </w:rPr>
      </w:pPr>
      <w:r w:rsidRPr="00B12091">
        <w:rPr>
          <w:rFonts w:ascii="Verdana" w:hAnsi="Verdana"/>
          <w:b/>
          <w:color w:val="4472C4" w:themeColor="accent5"/>
          <w:sz w:val="20"/>
          <w:szCs w:val="18"/>
          <w:lang w:val="en-GB"/>
        </w:rPr>
        <w:lastRenderedPageBreak/>
        <w:t>Part</w:t>
      </w:r>
      <w:r>
        <w:rPr>
          <w:rFonts w:ascii="Verdana" w:hAnsi="Verdana"/>
          <w:b/>
          <w:color w:val="4472C4" w:themeColor="accent5"/>
          <w:sz w:val="20"/>
          <w:szCs w:val="18"/>
          <w:lang w:val="en-GB"/>
        </w:rPr>
        <w:t xml:space="preserve"> 4</w:t>
      </w:r>
      <w:r w:rsidRPr="00B12091">
        <w:rPr>
          <w:rFonts w:ascii="Verdana" w:hAnsi="Verdana"/>
          <w:b/>
          <w:color w:val="4472C4" w:themeColor="accent5"/>
          <w:sz w:val="20"/>
          <w:szCs w:val="18"/>
          <w:lang w:val="en-GB"/>
        </w:rPr>
        <w:t>:</w:t>
      </w:r>
      <w:r>
        <w:rPr>
          <w:rFonts w:ascii="Verdana" w:hAnsi="Verdana"/>
          <w:b/>
          <w:color w:val="4472C4" w:themeColor="accent5"/>
          <w:sz w:val="20"/>
          <w:szCs w:val="18"/>
          <w:lang w:val="en-GB"/>
        </w:rPr>
        <w:t xml:space="preserve"> </w:t>
      </w:r>
      <w:r w:rsidR="002063E2" w:rsidRPr="00B12091">
        <w:rPr>
          <w:rFonts w:ascii="Verdana" w:hAnsi="Verdana"/>
          <w:b/>
          <w:color w:val="4472C4" w:themeColor="accent5"/>
          <w:sz w:val="20"/>
          <w:szCs w:val="18"/>
          <w:lang w:val="en-GB"/>
        </w:rPr>
        <w:t>Multi-criteria analysis</w:t>
      </w:r>
      <w:r w:rsidR="00A24B98">
        <w:rPr>
          <w:rFonts w:ascii="Verdana" w:hAnsi="Verdana"/>
          <w:b/>
          <w:color w:val="4472C4" w:themeColor="accent5"/>
          <w:sz w:val="20"/>
          <w:szCs w:val="18"/>
          <w:lang w:val="en-GB"/>
        </w:rPr>
        <w:t xml:space="preserve"> (MCA)</w:t>
      </w:r>
    </w:p>
    <w:p w:rsidR="00B12091" w:rsidRDefault="00B12091" w:rsidP="0097447A">
      <w:pPr>
        <w:pStyle w:val="Geenafstand"/>
        <w:spacing w:line="276" w:lineRule="auto"/>
        <w:contextualSpacing/>
        <w:rPr>
          <w:rFonts w:ascii="Verdana" w:hAnsi="Verdana"/>
          <w:b/>
          <w:color w:val="4472C4" w:themeColor="accent5"/>
          <w:sz w:val="20"/>
          <w:szCs w:val="18"/>
          <w:lang w:val="en-GB"/>
        </w:rPr>
      </w:pPr>
    </w:p>
    <w:p w:rsidR="002063E2" w:rsidRPr="004D3DC6" w:rsidRDefault="00A24B98" w:rsidP="0097447A">
      <w:pPr>
        <w:spacing w:after="0" w:line="276" w:lineRule="auto"/>
        <w:contextualSpacing/>
        <w:jc w:val="both"/>
        <w:rPr>
          <w:rFonts w:ascii="Verdana" w:hAnsi="Verdana"/>
          <w:sz w:val="18"/>
          <w:szCs w:val="18"/>
        </w:rPr>
      </w:pPr>
      <w:r>
        <w:rPr>
          <w:rFonts w:ascii="Verdana" w:hAnsi="Verdana"/>
          <w:sz w:val="18"/>
          <w:szCs w:val="18"/>
        </w:rPr>
        <w:t>The multi-criteria analysis exists of different options. In this case option 0 is the s</w:t>
      </w:r>
      <w:r w:rsidR="002063E2" w:rsidRPr="004D3DC6">
        <w:rPr>
          <w:rFonts w:ascii="Verdana" w:hAnsi="Verdana"/>
          <w:sz w:val="18"/>
          <w:szCs w:val="18"/>
        </w:rPr>
        <w:t>tatus quo</w:t>
      </w:r>
      <w:r>
        <w:rPr>
          <w:rFonts w:ascii="Verdana" w:hAnsi="Verdana"/>
          <w:sz w:val="18"/>
          <w:szCs w:val="18"/>
        </w:rPr>
        <w:t>, which</w:t>
      </w:r>
      <w:r w:rsidR="002063E2" w:rsidRPr="004D3DC6">
        <w:rPr>
          <w:rFonts w:ascii="Verdana" w:hAnsi="Verdana"/>
          <w:sz w:val="18"/>
          <w:szCs w:val="18"/>
        </w:rPr>
        <w:t xml:space="preserve"> used as benchmark for other options. The benefits and costs of other options should be compared with option 0.</w:t>
      </w:r>
      <w:r w:rsidR="005104AE" w:rsidRPr="005104AE">
        <w:rPr>
          <w:rFonts w:ascii="Verdana" w:hAnsi="Verdana"/>
          <w:sz w:val="18"/>
          <w:szCs w:val="18"/>
        </w:rPr>
        <w:t xml:space="preserve"> </w:t>
      </w:r>
      <w:r w:rsidR="005104AE">
        <w:rPr>
          <w:rFonts w:ascii="Verdana" w:hAnsi="Verdana"/>
          <w:sz w:val="18"/>
          <w:szCs w:val="18"/>
        </w:rPr>
        <w:t>In other words, the impact of the different measures in option 1 and 2 are marginal effects relative to doing nothing in option 0.</w:t>
      </w:r>
      <w:r>
        <w:rPr>
          <w:rFonts w:ascii="Verdana" w:hAnsi="Verdana"/>
          <w:sz w:val="18"/>
          <w:szCs w:val="18"/>
        </w:rPr>
        <w:t xml:space="preserve"> You have to calculate the marginal cost and benefits of the first option. The costs and benefits of option 2 are already calculated in order to carry out a MCA.</w:t>
      </w:r>
    </w:p>
    <w:p w:rsidR="00D84DC9" w:rsidRPr="004D3DC6" w:rsidRDefault="00D84DC9" w:rsidP="0097447A">
      <w:pPr>
        <w:spacing w:after="0" w:line="276" w:lineRule="auto"/>
        <w:ind w:left="720"/>
        <w:contextualSpacing/>
        <w:rPr>
          <w:rFonts w:ascii="Verdana" w:hAnsi="Verdana"/>
          <w:sz w:val="18"/>
          <w:szCs w:val="18"/>
        </w:rPr>
      </w:pPr>
    </w:p>
    <w:p w:rsidR="002063E2" w:rsidRPr="004D3DC6" w:rsidRDefault="002063E2" w:rsidP="0097447A">
      <w:pPr>
        <w:numPr>
          <w:ilvl w:val="0"/>
          <w:numId w:val="4"/>
        </w:numPr>
        <w:spacing w:after="0" w:line="276" w:lineRule="auto"/>
        <w:contextualSpacing/>
        <w:rPr>
          <w:rFonts w:ascii="Verdana" w:hAnsi="Verdana"/>
          <w:b/>
          <w:sz w:val="18"/>
          <w:szCs w:val="18"/>
        </w:rPr>
      </w:pPr>
      <w:r w:rsidRPr="004D3DC6">
        <w:rPr>
          <w:rFonts w:ascii="Verdana" w:hAnsi="Verdana"/>
          <w:b/>
          <w:sz w:val="18"/>
          <w:szCs w:val="18"/>
        </w:rPr>
        <w:t>Option 1: Polish cluster of measurements</w:t>
      </w:r>
    </w:p>
    <w:p w:rsidR="00D84DC9" w:rsidRDefault="00D84DC9" w:rsidP="0097447A">
      <w:pPr>
        <w:spacing w:after="0" w:line="276" w:lineRule="auto"/>
        <w:ind w:left="720"/>
        <w:contextualSpacing/>
        <w:rPr>
          <w:rFonts w:ascii="Verdana" w:hAnsi="Verdana"/>
          <w:sz w:val="18"/>
          <w:szCs w:val="18"/>
        </w:rPr>
      </w:pPr>
    </w:p>
    <w:p w:rsidR="005104AE" w:rsidRDefault="005104AE" w:rsidP="0097447A">
      <w:pPr>
        <w:spacing w:after="0" w:line="276" w:lineRule="auto"/>
        <w:ind w:left="720"/>
        <w:contextualSpacing/>
        <w:rPr>
          <w:rFonts w:ascii="Verdana" w:hAnsi="Verdana"/>
          <w:sz w:val="18"/>
          <w:szCs w:val="18"/>
        </w:rPr>
      </w:pPr>
      <w:r>
        <w:rPr>
          <w:rFonts w:ascii="Verdana" w:hAnsi="Verdana"/>
          <w:sz w:val="18"/>
          <w:szCs w:val="18"/>
        </w:rPr>
        <w:t>Option 1 exists of the Polish measurements that are currently active:</w:t>
      </w:r>
    </w:p>
    <w:p w:rsidR="002063E2" w:rsidRPr="004D3DC6" w:rsidRDefault="002063E2" w:rsidP="0097447A">
      <w:pPr>
        <w:numPr>
          <w:ilvl w:val="1"/>
          <w:numId w:val="4"/>
        </w:numPr>
        <w:spacing w:after="0" w:line="276" w:lineRule="auto"/>
        <w:contextualSpacing/>
        <w:rPr>
          <w:rFonts w:ascii="Verdana" w:hAnsi="Verdana"/>
          <w:sz w:val="18"/>
          <w:szCs w:val="18"/>
        </w:rPr>
      </w:pPr>
      <w:r w:rsidRPr="004D3DC6">
        <w:rPr>
          <w:rFonts w:ascii="Verdana" w:hAnsi="Verdana"/>
          <w:sz w:val="18"/>
          <w:szCs w:val="18"/>
        </w:rPr>
        <w:t>Stricter payment terms</w:t>
      </w:r>
    </w:p>
    <w:p w:rsidR="002063E2" w:rsidRPr="004D3DC6" w:rsidRDefault="002063E2" w:rsidP="0097447A">
      <w:pPr>
        <w:numPr>
          <w:ilvl w:val="1"/>
          <w:numId w:val="4"/>
        </w:numPr>
        <w:spacing w:after="0" w:line="276" w:lineRule="auto"/>
        <w:contextualSpacing/>
        <w:rPr>
          <w:rFonts w:ascii="Verdana" w:hAnsi="Verdana"/>
          <w:sz w:val="18"/>
          <w:szCs w:val="18"/>
        </w:rPr>
      </w:pPr>
      <w:r w:rsidRPr="004D3DC6">
        <w:rPr>
          <w:rFonts w:ascii="Verdana" w:hAnsi="Verdana"/>
          <w:sz w:val="18"/>
          <w:szCs w:val="18"/>
        </w:rPr>
        <w:t>Transparency of payment practices</w:t>
      </w:r>
    </w:p>
    <w:p w:rsidR="002063E2" w:rsidRPr="004D3DC6" w:rsidRDefault="002063E2" w:rsidP="0097447A">
      <w:pPr>
        <w:numPr>
          <w:ilvl w:val="1"/>
          <w:numId w:val="4"/>
        </w:numPr>
        <w:spacing w:after="0" w:line="276" w:lineRule="auto"/>
        <w:contextualSpacing/>
        <w:rPr>
          <w:rFonts w:ascii="Verdana" w:hAnsi="Verdana"/>
          <w:sz w:val="18"/>
          <w:szCs w:val="18"/>
        </w:rPr>
      </w:pPr>
      <w:r w:rsidRPr="004D3DC6">
        <w:rPr>
          <w:rFonts w:ascii="Verdana" w:hAnsi="Verdana"/>
          <w:sz w:val="18"/>
          <w:szCs w:val="18"/>
        </w:rPr>
        <w:t>Alternative Dispute Resolution System</w:t>
      </w:r>
    </w:p>
    <w:p w:rsidR="002063E2" w:rsidRPr="004D3DC6" w:rsidRDefault="002063E2" w:rsidP="0097447A">
      <w:pPr>
        <w:numPr>
          <w:ilvl w:val="1"/>
          <w:numId w:val="4"/>
        </w:numPr>
        <w:spacing w:after="0" w:line="276" w:lineRule="auto"/>
        <w:contextualSpacing/>
        <w:rPr>
          <w:rFonts w:ascii="Verdana" w:hAnsi="Verdana"/>
          <w:sz w:val="18"/>
          <w:szCs w:val="18"/>
        </w:rPr>
      </w:pPr>
      <w:r w:rsidRPr="004D3DC6">
        <w:rPr>
          <w:rFonts w:ascii="Verdana" w:hAnsi="Verdana"/>
          <w:sz w:val="18"/>
          <w:szCs w:val="18"/>
        </w:rPr>
        <w:t>Administrative sanctions</w:t>
      </w:r>
    </w:p>
    <w:p w:rsidR="002063E2" w:rsidRPr="004D3DC6" w:rsidRDefault="002063E2" w:rsidP="0097447A">
      <w:pPr>
        <w:numPr>
          <w:ilvl w:val="1"/>
          <w:numId w:val="4"/>
        </w:numPr>
        <w:spacing w:after="0" w:line="276" w:lineRule="auto"/>
        <w:contextualSpacing/>
        <w:rPr>
          <w:rFonts w:ascii="Verdana" w:hAnsi="Verdana"/>
          <w:sz w:val="18"/>
          <w:szCs w:val="18"/>
        </w:rPr>
      </w:pPr>
      <w:r w:rsidRPr="004D3DC6">
        <w:rPr>
          <w:rFonts w:ascii="Verdana" w:hAnsi="Verdana"/>
          <w:sz w:val="18"/>
          <w:szCs w:val="18"/>
        </w:rPr>
        <w:t>Compensation for recovery costs proportional to the size of the debt</w:t>
      </w:r>
    </w:p>
    <w:p w:rsidR="002063E2" w:rsidRPr="004D3DC6" w:rsidRDefault="002063E2" w:rsidP="0097447A">
      <w:pPr>
        <w:numPr>
          <w:ilvl w:val="1"/>
          <w:numId w:val="4"/>
        </w:numPr>
        <w:spacing w:after="0" w:line="276" w:lineRule="auto"/>
        <w:contextualSpacing/>
        <w:rPr>
          <w:rFonts w:ascii="Verdana" w:hAnsi="Verdana"/>
          <w:sz w:val="18"/>
          <w:szCs w:val="18"/>
        </w:rPr>
      </w:pPr>
      <w:r w:rsidRPr="004D3DC6">
        <w:rPr>
          <w:rFonts w:ascii="Verdana" w:hAnsi="Verdana"/>
          <w:sz w:val="18"/>
          <w:szCs w:val="18"/>
        </w:rPr>
        <w:t>Tax regulations</w:t>
      </w:r>
    </w:p>
    <w:p w:rsidR="002063E2" w:rsidRPr="004D3DC6" w:rsidRDefault="002063E2" w:rsidP="0097447A">
      <w:pPr>
        <w:spacing w:after="0" w:line="276" w:lineRule="auto"/>
        <w:ind w:left="720"/>
        <w:contextualSpacing/>
        <w:rPr>
          <w:rFonts w:ascii="Verdana" w:hAnsi="Verdana"/>
          <w:sz w:val="18"/>
          <w:szCs w:val="18"/>
        </w:rPr>
      </w:pPr>
    </w:p>
    <w:p w:rsidR="002063E2" w:rsidRPr="004D3DC6" w:rsidRDefault="002063E2" w:rsidP="0097447A">
      <w:pPr>
        <w:spacing w:after="0" w:line="276" w:lineRule="auto"/>
        <w:ind w:left="720"/>
        <w:contextualSpacing/>
        <w:jc w:val="both"/>
        <w:rPr>
          <w:rFonts w:ascii="Verdana" w:hAnsi="Verdana"/>
          <w:sz w:val="18"/>
          <w:szCs w:val="18"/>
        </w:rPr>
      </w:pPr>
      <w:r w:rsidRPr="004D3DC6">
        <w:rPr>
          <w:rFonts w:ascii="Verdana" w:hAnsi="Verdana"/>
          <w:sz w:val="18"/>
          <w:szCs w:val="18"/>
        </w:rPr>
        <w:t>In order to calculate the impact of the Polish measurements, we take a time span of 10 years into account. The wages of the different stak</w:t>
      </w:r>
      <w:r w:rsidR="00FA49CE" w:rsidRPr="004D3DC6">
        <w:rPr>
          <w:rFonts w:ascii="Verdana" w:hAnsi="Verdana"/>
          <w:sz w:val="18"/>
          <w:szCs w:val="18"/>
        </w:rPr>
        <w:t>eholder are mentioned in Table 2</w:t>
      </w:r>
      <w:r w:rsidRPr="004D3DC6">
        <w:rPr>
          <w:rFonts w:ascii="Verdana" w:hAnsi="Verdana"/>
          <w:sz w:val="18"/>
          <w:szCs w:val="18"/>
        </w:rPr>
        <w:t>.</w:t>
      </w:r>
      <w:r w:rsidR="005104AE">
        <w:rPr>
          <w:rFonts w:ascii="Verdana" w:hAnsi="Verdana"/>
          <w:sz w:val="18"/>
          <w:szCs w:val="18"/>
        </w:rPr>
        <w:t xml:space="preserve"> </w:t>
      </w:r>
    </w:p>
    <w:p w:rsidR="002063E2" w:rsidRPr="004D3DC6" w:rsidRDefault="002063E2" w:rsidP="0097447A">
      <w:pPr>
        <w:spacing w:after="0" w:line="276" w:lineRule="auto"/>
        <w:ind w:left="720"/>
        <w:contextualSpacing/>
        <w:jc w:val="both"/>
        <w:rPr>
          <w:rFonts w:ascii="Verdana" w:hAnsi="Verdana"/>
          <w:sz w:val="18"/>
          <w:szCs w:val="18"/>
        </w:rPr>
      </w:pPr>
    </w:p>
    <w:p w:rsidR="00DF1A27" w:rsidRPr="004D3DC6" w:rsidRDefault="002063E2" w:rsidP="0097447A">
      <w:pPr>
        <w:spacing w:after="0" w:line="276" w:lineRule="auto"/>
        <w:ind w:left="720"/>
        <w:contextualSpacing/>
        <w:rPr>
          <w:rFonts w:ascii="Verdana" w:hAnsi="Verdana"/>
          <w:sz w:val="18"/>
          <w:szCs w:val="18"/>
        </w:rPr>
      </w:pPr>
      <w:r w:rsidRPr="004D3DC6">
        <w:rPr>
          <w:rFonts w:ascii="Verdana" w:hAnsi="Verdana"/>
          <w:sz w:val="18"/>
          <w:szCs w:val="18"/>
        </w:rPr>
        <w:t xml:space="preserve">Due to stricter payment terms, 2 million SMEs should update their general contract terms. This process takes about 30 minutes for administrative employees. </w:t>
      </w:r>
    </w:p>
    <w:p w:rsidR="002063E2" w:rsidRPr="004D3DC6" w:rsidRDefault="00DF1A27" w:rsidP="0097447A">
      <w:pPr>
        <w:spacing w:after="0" w:line="276" w:lineRule="auto"/>
        <w:ind w:left="720"/>
        <w:contextualSpacing/>
        <w:rPr>
          <w:rFonts w:ascii="Verdana" w:hAnsi="Verdana"/>
          <w:b/>
          <w:sz w:val="18"/>
          <w:szCs w:val="18"/>
        </w:rPr>
      </w:pPr>
      <w:r w:rsidRPr="004D3DC6">
        <w:rPr>
          <w:rFonts w:ascii="Verdana" w:hAnsi="Verdana"/>
          <w:b/>
          <w:sz w:val="18"/>
          <w:szCs w:val="18"/>
        </w:rPr>
        <w:t>2,000,000</w:t>
      </w:r>
      <w:r w:rsidR="002F1F3D" w:rsidRPr="004D3DC6">
        <w:rPr>
          <w:rFonts w:ascii="Verdana" w:hAnsi="Verdana"/>
          <w:b/>
          <w:sz w:val="18"/>
          <w:szCs w:val="18"/>
        </w:rPr>
        <w:t xml:space="preserve"> SMEs</w:t>
      </w:r>
      <w:r w:rsidRPr="004D3DC6">
        <w:rPr>
          <w:rFonts w:ascii="Verdana" w:hAnsi="Verdana"/>
          <w:b/>
          <w:sz w:val="18"/>
          <w:szCs w:val="18"/>
        </w:rPr>
        <w:t xml:space="preserve"> * 0.5</w:t>
      </w:r>
      <w:r w:rsidR="002F1F3D" w:rsidRPr="004D3DC6">
        <w:rPr>
          <w:rFonts w:ascii="Verdana" w:hAnsi="Verdana"/>
          <w:b/>
          <w:sz w:val="18"/>
          <w:szCs w:val="18"/>
        </w:rPr>
        <w:t xml:space="preserve"> hours * 40 €/hour</w:t>
      </w:r>
      <w:r w:rsidR="00D24B3E" w:rsidRPr="004D3DC6">
        <w:rPr>
          <w:rFonts w:ascii="Verdana" w:hAnsi="Verdana"/>
          <w:b/>
          <w:sz w:val="18"/>
          <w:szCs w:val="18"/>
        </w:rPr>
        <w:t xml:space="preserve"> = 40,000,000</w:t>
      </w:r>
      <w:r w:rsidR="0068154D" w:rsidRPr="004D3DC6">
        <w:rPr>
          <w:rFonts w:ascii="Verdana" w:hAnsi="Verdana"/>
          <w:b/>
          <w:sz w:val="18"/>
          <w:szCs w:val="18"/>
        </w:rPr>
        <w:t xml:space="preserve"> (administrative burden)</w:t>
      </w:r>
    </w:p>
    <w:p w:rsidR="002063E2" w:rsidRPr="004D3DC6" w:rsidRDefault="002063E2" w:rsidP="0097447A">
      <w:pPr>
        <w:spacing w:after="0" w:line="276" w:lineRule="auto"/>
        <w:ind w:left="720"/>
        <w:contextualSpacing/>
        <w:rPr>
          <w:rFonts w:ascii="Verdana" w:hAnsi="Verdana"/>
          <w:sz w:val="18"/>
          <w:szCs w:val="18"/>
        </w:rPr>
      </w:pPr>
    </w:p>
    <w:p w:rsidR="002063E2" w:rsidRPr="004D3DC6" w:rsidRDefault="00D84DC9" w:rsidP="0097447A">
      <w:pPr>
        <w:spacing w:after="0" w:line="276" w:lineRule="auto"/>
        <w:ind w:left="720"/>
        <w:contextualSpacing/>
        <w:jc w:val="both"/>
        <w:rPr>
          <w:rFonts w:ascii="Verdana" w:hAnsi="Verdana"/>
          <w:sz w:val="18"/>
          <w:szCs w:val="18"/>
        </w:rPr>
      </w:pPr>
      <w:r>
        <w:rPr>
          <w:noProof/>
        </w:rPr>
        <w:drawing>
          <wp:anchor distT="0" distB="0" distL="114300" distR="114300" simplePos="0" relativeHeight="251667456" behindDoc="0" locked="0" layoutInCell="1" allowOverlap="1">
            <wp:simplePos x="0" y="0"/>
            <wp:positionH relativeFrom="column">
              <wp:posOffset>4709795</wp:posOffset>
            </wp:positionH>
            <wp:positionV relativeFrom="paragraph">
              <wp:posOffset>24130</wp:posOffset>
            </wp:positionV>
            <wp:extent cx="1219200" cy="1276985"/>
            <wp:effectExtent l="0" t="0" r="0" b="0"/>
            <wp:wrapSquare wrapText="bothSides"/>
            <wp:docPr id="13" name="Afbeelding 13" descr="Afbeeldingsresultaat voor reporting oblig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fbeeldingsresultaat voor reporting obligation"/>
                    <pic:cNvPicPr>
                      <a:picLocks noChangeAspect="1" noChangeArrowheads="1"/>
                    </pic:cNvPicPr>
                  </pic:nvPicPr>
                  <pic:blipFill rotWithShape="1">
                    <a:blip r:embed="rId16">
                      <a:extLst>
                        <a:ext uri="{28A0092B-C50C-407E-A947-70E740481C1C}">
                          <a14:useLocalDpi xmlns:a14="http://schemas.microsoft.com/office/drawing/2010/main" val="0"/>
                        </a:ext>
                      </a:extLst>
                    </a:blip>
                    <a:srcRect l="10476" t="7937" r="9524" b="8254"/>
                    <a:stretch/>
                  </pic:blipFill>
                  <pic:spPr bwMode="auto">
                    <a:xfrm>
                      <a:off x="0" y="0"/>
                      <a:ext cx="1219200" cy="127698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063E2" w:rsidRPr="004D3DC6">
        <w:rPr>
          <w:rFonts w:ascii="Verdana" w:hAnsi="Verdana"/>
          <w:sz w:val="18"/>
          <w:szCs w:val="18"/>
        </w:rPr>
        <w:t xml:space="preserve">The reporting obligation concerning the transparency of payment practices is only applicable for companies which have more than EUR 50 million revenue per years (18.000 firms in Poland). The reporting obligation is required quarterly. </w:t>
      </w:r>
      <w:r w:rsidR="00DF1A27" w:rsidRPr="004D3DC6">
        <w:rPr>
          <w:rFonts w:ascii="Verdana" w:hAnsi="Verdana"/>
          <w:sz w:val="18"/>
          <w:szCs w:val="18"/>
        </w:rPr>
        <w:t>The first time, it</w:t>
      </w:r>
      <w:r w:rsidR="002063E2" w:rsidRPr="004D3DC6">
        <w:rPr>
          <w:rFonts w:ascii="Verdana" w:hAnsi="Verdana"/>
          <w:sz w:val="18"/>
          <w:szCs w:val="18"/>
        </w:rPr>
        <w:t xml:space="preserve"> takes about 2 hours of a corporate manager's time to get familiar with the reporting obligation. Drawing up the report takes 1 hour of a financial director's time and 3 hours of a corporate manager's time. To guarantee transparency of payment practices, governments databases and registries should be updated on regularly bases, which takes about </w:t>
      </w:r>
      <w:r w:rsidR="00DB0FA3">
        <w:rPr>
          <w:rFonts w:ascii="Verdana" w:hAnsi="Verdana"/>
          <w:sz w:val="18"/>
          <w:szCs w:val="18"/>
        </w:rPr>
        <w:t>4</w:t>
      </w:r>
      <w:bookmarkStart w:id="0" w:name="_GoBack"/>
      <w:bookmarkEnd w:id="0"/>
      <w:r w:rsidR="00836A1E" w:rsidRPr="004D3DC6">
        <w:rPr>
          <w:rFonts w:ascii="Verdana" w:hAnsi="Verdana"/>
          <w:sz w:val="18"/>
          <w:szCs w:val="18"/>
        </w:rPr>
        <w:t xml:space="preserve"> hours/week</w:t>
      </w:r>
      <w:r w:rsidR="002063E2" w:rsidRPr="004D3DC6">
        <w:rPr>
          <w:rFonts w:ascii="Verdana" w:hAnsi="Verdana"/>
          <w:sz w:val="18"/>
          <w:szCs w:val="18"/>
        </w:rPr>
        <w:t xml:space="preserve"> for a of a web design and developer professional's time.</w:t>
      </w:r>
    </w:p>
    <w:p w:rsidR="002063E2" w:rsidRPr="004D3DC6" w:rsidRDefault="002F1F3D" w:rsidP="0097447A">
      <w:pPr>
        <w:spacing w:after="0" w:line="276" w:lineRule="auto"/>
        <w:ind w:left="720"/>
        <w:contextualSpacing/>
        <w:jc w:val="both"/>
        <w:rPr>
          <w:rFonts w:ascii="Verdana" w:hAnsi="Verdana"/>
          <w:b/>
          <w:sz w:val="18"/>
          <w:szCs w:val="18"/>
        </w:rPr>
      </w:pPr>
      <w:r w:rsidRPr="004D3DC6">
        <w:rPr>
          <w:rFonts w:ascii="Verdana" w:hAnsi="Verdana"/>
          <w:b/>
          <w:sz w:val="18"/>
          <w:szCs w:val="18"/>
        </w:rPr>
        <w:t>Start-up: 18,000 firms * 2 hours * 70 €/hour</w:t>
      </w:r>
      <w:r w:rsidR="00D24B3E" w:rsidRPr="004D3DC6">
        <w:rPr>
          <w:rFonts w:ascii="Verdana" w:hAnsi="Verdana"/>
          <w:b/>
          <w:sz w:val="18"/>
          <w:szCs w:val="18"/>
        </w:rPr>
        <w:t xml:space="preserve"> = 2,520,000</w:t>
      </w:r>
      <w:r w:rsidR="0068154D" w:rsidRPr="004D3DC6">
        <w:rPr>
          <w:rFonts w:ascii="Verdana" w:hAnsi="Verdana"/>
          <w:b/>
          <w:sz w:val="18"/>
          <w:szCs w:val="18"/>
        </w:rPr>
        <w:t xml:space="preserve"> (administrative burden)</w:t>
      </w:r>
    </w:p>
    <w:p w:rsidR="002F1F3D" w:rsidRPr="004D3DC6" w:rsidRDefault="002F1F3D" w:rsidP="0097447A">
      <w:pPr>
        <w:spacing w:after="0" w:line="276" w:lineRule="auto"/>
        <w:ind w:left="720"/>
        <w:contextualSpacing/>
        <w:jc w:val="both"/>
        <w:rPr>
          <w:rFonts w:ascii="Verdana" w:hAnsi="Verdana"/>
          <w:b/>
          <w:sz w:val="18"/>
          <w:szCs w:val="18"/>
        </w:rPr>
      </w:pPr>
      <w:r w:rsidRPr="004D3DC6">
        <w:rPr>
          <w:rFonts w:ascii="Verdana" w:hAnsi="Verdana"/>
          <w:b/>
          <w:sz w:val="18"/>
          <w:szCs w:val="18"/>
        </w:rPr>
        <w:t>Report: 18,000 firms * 4 quarters * (3 hours * 70 €/hour + 1 hour * 100 €/hour) * 10 years</w:t>
      </w:r>
      <w:r w:rsidR="00D24B3E" w:rsidRPr="004D3DC6">
        <w:rPr>
          <w:rFonts w:ascii="Verdana" w:hAnsi="Verdana"/>
          <w:b/>
          <w:sz w:val="18"/>
          <w:szCs w:val="18"/>
        </w:rPr>
        <w:t xml:space="preserve"> = 223,200,000</w:t>
      </w:r>
      <w:r w:rsidR="0068154D" w:rsidRPr="004D3DC6">
        <w:rPr>
          <w:rFonts w:ascii="Verdana" w:hAnsi="Verdana"/>
          <w:b/>
          <w:sz w:val="18"/>
          <w:szCs w:val="18"/>
        </w:rPr>
        <w:t xml:space="preserve"> (administrative burden)</w:t>
      </w:r>
    </w:p>
    <w:p w:rsidR="002F1F3D" w:rsidRPr="004D3DC6" w:rsidRDefault="00836A1E" w:rsidP="0097447A">
      <w:pPr>
        <w:spacing w:after="0" w:line="276" w:lineRule="auto"/>
        <w:ind w:left="720"/>
        <w:contextualSpacing/>
        <w:jc w:val="both"/>
        <w:rPr>
          <w:rFonts w:ascii="Verdana" w:hAnsi="Verdana"/>
          <w:b/>
          <w:sz w:val="18"/>
          <w:szCs w:val="18"/>
        </w:rPr>
      </w:pPr>
      <w:r w:rsidRPr="004D3DC6">
        <w:rPr>
          <w:rFonts w:ascii="Verdana" w:hAnsi="Verdana"/>
          <w:b/>
          <w:sz w:val="18"/>
          <w:szCs w:val="18"/>
        </w:rPr>
        <w:t xml:space="preserve">Government database: </w:t>
      </w:r>
      <w:r w:rsidR="00D67B75">
        <w:rPr>
          <w:rFonts w:ascii="Verdana" w:hAnsi="Verdana"/>
          <w:b/>
          <w:sz w:val="18"/>
          <w:szCs w:val="18"/>
        </w:rPr>
        <w:t>4</w:t>
      </w:r>
      <w:r w:rsidR="002F1F3D" w:rsidRPr="004D3DC6">
        <w:rPr>
          <w:rFonts w:ascii="Verdana" w:hAnsi="Verdana"/>
          <w:b/>
          <w:sz w:val="18"/>
          <w:szCs w:val="18"/>
        </w:rPr>
        <w:t xml:space="preserve"> hour * 45 €/hour * 52 weeks * 10 years</w:t>
      </w:r>
      <w:r w:rsidR="00D24B3E" w:rsidRPr="004D3DC6">
        <w:rPr>
          <w:rFonts w:ascii="Verdana" w:hAnsi="Verdana"/>
          <w:b/>
          <w:sz w:val="18"/>
          <w:szCs w:val="18"/>
        </w:rPr>
        <w:t xml:space="preserve"> = </w:t>
      </w:r>
      <w:r w:rsidR="00D67B75">
        <w:rPr>
          <w:rFonts w:ascii="Verdana" w:hAnsi="Verdana"/>
          <w:b/>
          <w:sz w:val="18"/>
          <w:szCs w:val="18"/>
        </w:rPr>
        <w:t>93,600</w:t>
      </w:r>
      <w:r w:rsidR="0068154D" w:rsidRPr="004D3DC6">
        <w:rPr>
          <w:rFonts w:ascii="Verdana" w:hAnsi="Verdana"/>
          <w:b/>
          <w:sz w:val="18"/>
          <w:szCs w:val="18"/>
        </w:rPr>
        <w:t xml:space="preserve"> (</w:t>
      </w:r>
      <w:r w:rsidR="00955B7B" w:rsidRPr="004D3DC6">
        <w:rPr>
          <w:rFonts w:ascii="Verdana" w:hAnsi="Verdana"/>
          <w:b/>
          <w:sz w:val="18"/>
          <w:szCs w:val="18"/>
        </w:rPr>
        <w:t>administrative burden</w:t>
      </w:r>
      <w:r w:rsidR="0068154D" w:rsidRPr="004D3DC6">
        <w:rPr>
          <w:rFonts w:ascii="Verdana" w:hAnsi="Verdana"/>
          <w:b/>
          <w:sz w:val="18"/>
          <w:szCs w:val="18"/>
        </w:rPr>
        <w:t>)</w:t>
      </w:r>
    </w:p>
    <w:p w:rsidR="00DF1A27" w:rsidRPr="004D3DC6" w:rsidRDefault="00DF1A27" w:rsidP="0097447A">
      <w:pPr>
        <w:spacing w:after="0" w:line="276" w:lineRule="auto"/>
        <w:ind w:left="720"/>
        <w:contextualSpacing/>
        <w:jc w:val="both"/>
        <w:rPr>
          <w:rFonts w:ascii="Verdana" w:hAnsi="Verdana"/>
          <w:sz w:val="18"/>
          <w:szCs w:val="18"/>
        </w:rPr>
      </w:pPr>
    </w:p>
    <w:p w:rsidR="002063E2" w:rsidRPr="004D3DC6" w:rsidRDefault="002063E2" w:rsidP="0097447A">
      <w:pPr>
        <w:spacing w:after="0" w:line="276" w:lineRule="auto"/>
        <w:ind w:left="720"/>
        <w:contextualSpacing/>
        <w:jc w:val="both"/>
        <w:rPr>
          <w:rFonts w:ascii="Verdana" w:hAnsi="Verdana"/>
          <w:sz w:val="18"/>
          <w:szCs w:val="18"/>
        </w:rPr>
      </w:pPr>
      <w:r w:rsidRPr="004D3DC6">
        <w:rPr>
          <w:rFonts w:ascii="Verdana" w:hAnsi="Verdana"/>
          <w:sz w:val="18"/>
          <w:szCs w:val="18"/>
        </w:rPr>
        <w:t>The organisation of an alternative dispute resolution system has a start-up cost of EUR 100,000 for the government.</w:t>
      </w:r>
      <w:r w:rsidR="00DF1A27" w:rsidRPr="004D3DC6">
        <w:rPr>
          <w:rFonts w:ascii="Verdana" w:hAnsi="Verdana"/>
          <w:sz w:val="18"/>
          <w:szCs w:val="18"/>
        </w:rPr>
        <w:t xml:space="preserve"> These costs reflect </w:t>
      </w:r>
      <w:r w:rsidR="002F1F3D" w:rsidRPr="004D3DC6">
        <w:rPr>
          <w:rFonts w:ascii="Verdana" w:hAnsi="Verdana"/>
          <w:sz w:val="18"/>
          <w:szCs w:val="18"/>
        </w:rPr>
        <w:t>the investment in computer software and a database in which the negotiators have to upload a report.</w:t>
      </w:r>
      <w:r w:rsidRPr="004D3DC6">
        <w:rPr>
          <w:rFonts w:ascii="Verdana" w:hAnsi="Verdana"/>
          <w:sz w:val="18"/>
          <w:szCs w:val="18"/>
        </w:rPr>
        <w:t xml:space="preserve"> </w:t>
      </w:r>
      <w:r w:rsidR="00E95BCA">
        <w:rPr>
          <w:rFonts w:ascii="Verdana" w:hAnsi="Verdana"/>
          <w:sz w:val="18"/>
          <w:szCs w:val="18"/>
        </w:rPr>
        <w:t xml:space="preserve">It is expected that </w:t>
      </w:r>
      <w:r w:rsidRPr="004D3DC6">
        <w:rPr>
          <w:rFonts w:ascii="Verdana" w:hAnsi="Verdana"/>
          <w:sz w:val="18"/>
          <w:szCs w:val="18"/>
        </w:rPr>
        <w:t xml:space="preserve">on average </w:t>
      </w:r>
      <w:r w:rsidR="00E95BCA" w:rsidRPr="004D3DC6">
        <w:rPr>
          <w:rFonts w:ascii="Verdana" w:hAnsi="Verdana"/>
          <w:sz w:val="18"/>
          <w:szCs w:val="18"/>
        </w:rPr>
        <w:t>an alternative dispute resolution system</w:t>
      </w:r>
      <w:r w:rsidRPr="004D3DC6">
        <w:rPr>
          <w:rFonts w:ascii="Verdana" w:hAnsi="Verdana"/>
          <w:sz w:val="18"/>
          <w:szCs w:val="18"/>
        </w:rPr>
        <w:t xml:space="preserve"> </w:t>
      </w:r>
      <w:r w:rsidR="00E95BCA">
        <w:rPr>
          <w:rFonts w:ascii="Verdana" w:hAnsi="Verdana"/>
          <w:sz w:val="18"/>
          <w:szCs w:val="18"/>
        </w:rPr>
        <w:t>is used by</w:t>
      </w:r>
      <w:r w:rsidRPr="004D3DC6">
        <w:rPr>
          <w:rFonts w:ascii="Verdana" w:hAnsi="Verdana"/>
          <w:sz w:val="18"/>
          <w:szCs w:val="18"/>
        </w:rPr>
        <w:t xml:space="preserve"> 7,500 SMEs per year. Instead of each firm hiring a lawyer, which spends on average 8 hours per case, there is only one negotiator per 2 firms. The negotiator spends on average 6 hours per dispute</w:t>
      </w:r>
      <w:r w:rsidR="00C948EB" w:rsidRPr="004D3DC6">
        <w:rPr>
          <w:rFonts w:ascii="Verdana" w:hAnsi="Verdana"/>
          <w:sz w:val="18"/>
          <w:szCs w:val="18"/>
        </w:rPr>
        <w:t xml:space="preserve"> and is paid by the </w:t>
      </w:r>
      <w:r w:rsidR="004F1146" w:rsidRPr="004D3DC6">
        <w:rPr>
          <w:rFonts w:ascii="Verdana" w:hAnsi="Verdana"/>
          <w:sz w:val="18"/>
          <w:szCs w:val="18"/>
        </w:rPr>
        <w:t>companies</w:t>
      </w:r>
      <w:r w:rsidRPr="004D3DC6">
        <w:rPr>
          <w:rFonts w:ascii="Verdana" w:hAnsi="Verdana"/>
          <w:sz w:val="18"/>
          <w:szCs w:val="18"/>
        </w:rPr>
        <w:t>.</w:t>
      </w:r>
    </w:p>
    <w:p w:rsidR="002F1F3D" w:rsidRPr="004D3DC6" w:rsidRDefault="002F1F3D" w:rsidP="0097447A">
      <w:pPr>
        <w:spacing w:after="0" w:line="276" w:lineRule="auto"/>
        <w:ind w:left="720"/>
        <w:contextualSpacing/>
        <w:jc w:val="both"/>
        <w:rPr>
          <w:rFonts w:ascii="Verdana" w:hAnsi="Verdana"/>
          <w:b/>
          <w:sz w:val="18"/>
          <w:szCs w:val="18"/>
        </w:rPr>
      </w:pPr>
      <w:r w:rsidRPr="004D3DC6">
        <w:rPr>
          <w:rFonts w:ascii="Verdana" w:hAnsi="Verdana"/>
          <w:b/>
          <w:sz w:val="18"/>
          <w:szCs w:val="18"/>
        </w:rPr>
        <w:t>Start-up: 100,000</w:t>
      </w:r>
      <w:r w:rsidR="0068154D" w:rsidRPr="004D3DC6">
        <w:rPr>
          <w:rFonts w:ascii="Verdana" w:hAnsi="Verdana"/>
          <w:b/>
          <w:sz w:val="18"/>
          <w:szCs w:val="18"/>
        </w:rPr>
        <w:t xml:space="preserve"> (operational)</w:t>
      </w:r>
    </w:p>
    <w:p w:rsidR="00C948EB" w:rsidRPr="004D3DC6" w:rsidRDefault="002F1F3D" w:rsidP="0097447A">
      <w:pPr>
        <w:spacing w:after="0" w:line="276" w:lineRule="auto"/>
        <w:ind w:left="720"/>
        <w:contextualSpacing/>
        <w:jc w:val="both"/>
        <w:rPr>
          <w:rFonts w:ascii="Verdana" w:hAnsi="Verdana"/>
          <w:b/>
          <w:sz w:val="18"/>
          <w:szCs w:val="18"/>
        </w:rPr>
      </w:pPr>
      <w:r w:rsidRPr="004D3DC6">
        <w:rPr>
          <w:rFonts w:ascii="Verdana" w:hAnsi="Verdana"/>
          <w:b/>
          <w:sz w:val="18"/>
          <w:szCs w:val="18"/>
        </w:rPr>
        <w:t>Negotiation</w:t>
      </w:r>
      <w:r w:rsidR="00C948EB" w:rsidRPr="004D3DC6">
        <w:rPr>
          <w:rFonts w:ascii="Verdana" w:hAnsi="Verdana"/>
          <w:b/>
          <w:sz w:val="18"/>
          <w:szCs w:val="18"/>
        </w:rPr>
        <w:t xml:space="preserve"> </w:t>
      </w:r>
      <w:r w:rsidR="004468BD" w:rsidRPr="004D3DC6">
        <w:rPr>
          <w:rFonts w:ascii="Verdana" w:hAnsi="Verdana"/>
          <w:b/>
          <w:sz w:val="18"/>
          <w:szCs w:val="18"/>
        </w:rPr>
        <w:t>lawyer</w:t>
      </w:r>
      <w:r w:rsidR="00C948EB" w:rsidRPr="004D3DC6">
        <w:rPr>
          <w:rFonts w:ascii="Verdana" w:hAnsi="Verdana"/>
          <w:b/>
          <w:sz w:val="18"/>
          <w:szCs w:val="18"/>
        </w:rPr>
        <w:t xml:space="preserve">: </w:t>
      </w:r>
      <w:r w:rsidRPr="004D3DC6">
        <w:rPr>
          <w:rFonts w:ascii="Verdana" w:hAnsi="Verdana"/>
          <w:b/>
          <w:sz w:val="18"/>
          <w:szCs w:val="18"/>
        </w:rPr>
        <w:t xml:space="preserve">7,500 SMEs * 8 hours * 90 €/hour </w:t>
      </w:r>
      <w:r w:rsidR="00C948EB" w:rsidRPr="004D3DC6">
        <w:rPr>
          <w:rFonts w:ascii="Verdana" w:hAnsi="Verdana"/>
          <w:b/>
          <w:sz w:val="18"/>
          <w:szCs w:val="18"/>
        </w:rPr>
        <w:t>* 10 years = 54,000,000 (enforcement)</w:t>
      </w:r>
    </w:p>
    <w:p w:rsidR="002F1F3D" w:rsidRPr="004D3DC6" w:rsidRDefault="00C948EB" w:rsidP="0097447A">
      <w:pPr>
        <w:spacing w:after="0" w:line="276" w:lineRule="auto"/>
        <w:ind w:left="720"/>
        <w:contextualSpacing/>
        <w:jc w:val="both"/>
        <w:rPr>
          <w:rFonts w:ascii="Verdana" w:hAnsi="Verdana"/>
          <w:b/>
          <w:sz w:val="18"/>
          <w:szCs w:val="18"/>
        </w:rPr>
      </w:pPr>
      <w:r w:rsidRPr="004D3DC6">
        <w:rPr>
          <w:rFonts w:ascii="Verdana" w:hAnsi="Verdana"/>
          <w:b/>
          <w:sz w:val="18"/>
          <w:szCs w:val="18"/>
        </w:rPr>
        <w:lastRenderedPageBreak/>
        <w:t xml:space="preserve">Negotiation </w:t>
      </w:r>
      <w:r w:rsidR="004468BD" w:rsidRPr="004D3DC6">
        <w:rPr>
          <w:rFonts w:ascii="Verdana" w:hAnsi="Verdana"/>
          <w:b/>
          <w:sz w:val="18"/>
          <w:szCs w:val="18"/>
        </w:rPr>
        <w:t>other</w:t>
      </w:r>
      <w:r w:rsidRPr="004D3DC6">
        <w:rPr>
          <w:rFonts w:ascii="Verdana" w:hAnsi="Verdana"/>
          <w:b/>
          <w:sz w:val="18"/>
          <w:szCs w:val="18"/>
        </w:rPr>
        <w:t xml:space="preserve">: </w:t>
      </w:r>
      <w:r w:rsidR="002F1F3D" w:rsidRPr="004D3DC6">
        <w:rPr>
          <w:rFonts w:ascii="Verdana" w:hAnsi="Verdana"/>
          <w:b/>
          <w:sz w:val="18"/>
          <w:szCs w:val="18"/>
        </w:rPr>
        <w:t>3</w:t>
      </w:r>
      <w:r w:rsidRPr="004D3DC6">
        <w:rPr>
          <w:rFonts w:ascii="Verdana" w:hAnsi="Verdana"/>
          <w:b/>
          <w:sz w:val="18"/>
          <w:szCs w:val="18"/>
        </w:rPr>
        <w:t>,750 SMEs * 6 hours * 60 €/hour</w:t>
      </w:r>
      <w:r w:rsidR="002F1F3D" w:rsidRPr="004D3DC6">
        <w:rPr>
          <w:rFonts w:ascii="Verdana" w:hAnsi="Verdana"/>
          <w:b/>
          <w:sz w:val="18"/>
          <w:szCs w:val="18"/>
        </w:rPr>
        <w:t xml:space="preserve"> * 10 </w:t>
      </w:r>
      <w:r w:rsidR="00385B66" w:rsidRPr="004D3DC6">
        <w:rPr>
          <w:rFonts w:ascii="Verdana" w:hAnsi="Verdana"/>
          <w:b/>
          <w:sz w:val="18"/>
          <w:szCs w:val="18"/>
        </w:rPr>
        <w:t>y</w:t>
      </w:r>
      <w:r w:rsidR="002F1F3D" w:rsidRPr="004D3DC6">
        <w:rPr>
          <w:rFonts w:ascii="Verdana" w:hAnsi="Verdana"/>
          <w:b/>
          <w:sz w:val="18"/>
          <w:szCs w:val="18"/>
        </w:rPr>
        <w:t>ears</w:t>
      </w:r>
      <w:r w:rsidR="00D24B3E" w:rsidRPr="004D3DC6">
        <w:rPr>
          <w:rFonts w:ascii="Verdana" w:hAnsi="Verdana"/>
          <w:b/>
          <w:sz w:val="18"/>
          <w:szCs w:val="18"/>
        </w:rPr>
        <w:t xml:space="preserve"> = </w:t>
      </w:r>
      <w:r w:rsidRPr="004D3DC6">
        <w:rPr>
          <w:rFonts w:ascii="Verdana" w:hAnsi="Verdana"/>
          <w:b/>
          <w:sz w:val="18"/>
          <w:szCs w:val="18"/>
        </w:rPr>
        <w:t xml:space="preserve"> </w:t>
      </w:r>
      <w:r w:rsidR="00D24B3E" w:rsidRPr="004D3DC6">
        <w:rPr>
          <w:rFonts w:ascii="Verdana" w:hAnsi="Verdana"/>
          <w:b/>
          <w:sz w:val="18"/>
          <w:szCs w:val="18"/>
        </w:rPr>
        <w:t xml:space="preserve">13,500,000 </w:t>
      </w:r>
      <w:r w:rsidR="0068154D" w:rsidRPr="004D3DC6">
        <w:rPr>
          <w:rFonts w:ascii="Verdana" w:hAnsi="Verdana"/>
          <w:b/>
          <w:sz w:val="18"/>
          <w:szCs w:val="18"/>
        </w:rPr>
        <w:t>(enforcement)</w:t>
      </w:r>
    </w:p>
    <w:p w:rsidR="005104AE" w:rsidRDefault="005104AE" w:rsidP="0097447A">
      <w:pPr>
        <w:spacing w:after="0" w:line="276" w:lineRule="auto"/>
        <w:contextualSpacing/>
        <w:rPr>
          <w:rFonts w:ascii="Verdana" w:hAnsi="Verdana"/>
          <w:sz w:val="18"/>
          <w:szCs w:val="18"/>
        </w:rPr>
      </w:pPr>
    </w:p>
    <w:p w:rsidR="002063E2" w:rsidRPr="004D3DC6" w:rsidRDefault="00D84DC9" w:rsidP="0097447A">
      <w:pPr>
        <w:spacing w:after="0" w:line="276" w:lineRule="auto"/>
        <w:ind w:left="720"/>
        <w:contextualSpacing/>
        <w:jc w:val="both"/>
        <w:rPr>
          <w:rFonts w:ascii="Verdana" w:hAnsi="Verdana"/>
          <w:sz w:val="18"/>
          <w:szCs w:val="18"/>
        </w:rPr>
      </w:pPr>
      <w:r>
        <w:rPr>
          <w:noProof/>
        </w:rPr>
        <w:drawing>
          <wp:anchor distT="0" distB="0" distL="114300" distR="114300" simplePos="0" relativeHeight="251668480" behindDoc="0" locked="0" layoutInCell="1" allowOverlap="1">
            <wp:simplePos x="0" y="0"/>
            <wp:positionH relativeFrom="column">
              <wp:posOffset>4347845</wp:posOffset>
            </wp:positionH>
            <wp:positionV relativeFrom="paragraph">
              <wp:posOffset>391795</wp:posOffset>
            </wp:positionV>
            <wp:extent cx="1586865" cy="1062355"/>
            <wp:effectExtent l="0" t="0" r="0" b="4445"/>
            <wp:wrapSquare wrapText="bothSides"/>
            <wp:docPr id="14" name="Afbeelding 14"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erelateerde afbeeldi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86865" cy="10623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063E2" w:rsidRPr="004D3DC6">
        <w:rPr>
          <w:rFonts w:ascii="Verdana" w:hAnsi="Verdana"/>
          <w:sz w:val="18"/>
          <w:szCs w:val="18"/>
        </w:rPr>
        <w:t>Administrative sanctions requires a system in which the public administration can help to take action against the debtor. On average, 1,500 enterprises are controlled each year, and the following actions are undertaken:</w:t>
      </w:r>
    </w:p>
    <w:p w:rsidR="002063E2" w:rsidRPr="004D3DC6" w:rsidRDefault="002063E2" w:rsidP="0097447A">
      <w:pPr>
        <w:pStyle w:val="Lijstalinea"/>
        <w:spacing w:after="0" w:line="276" w:lineRule="auto"/>
        <w:ind w:left="1134"/>
        <w:jc w:val="both"/>
        <w:rPr>
          <w:rFonts w:ascii="Verdana" w:hAnsi="Verdana"/>
          <w:sz w:val="18"/>
          <w:szCs w:val="18"/>
        </w:rPr>
      </w:pPr>
      <w:r w:rsidRPr="004D3DC6">
        <w:rPr>
          <w:rFonts w:ascii="Verdana" w:hAnsi="Verdana"/>
          <w:sz w:val="18"/>
          <w:szCs w:val="18"/>
        </w:rPr>
        <w:t>- 200 warnings;</w:t>
      </w:r>
      <w:r w:rsidR="00D84DC9" w:rsidRPr="00D84DC9">
        <w:rPr>
          <w:noProof/>
        </w:rPr>
        <w:t xml:space="preserve"> </w:t>
      </w:r>
    </w:p>
    <w:p w:rsidR="002063E2" w:rsidRPr="004D3DC6" w:rsidRDefault="002063E2" w:rsidP="0097447A">
      <w:pPr>
        <w:pStyle w:val="Lijstalinea"/>
        <w:spacing w:after="0" w:line="276" w:lineRule="auto"/>
        <w:ind w:left="1134"/>
        <w:jc w:val="both"/>
        <w:rPr>
          <w:rFonts w:ascii="Verdana" w:hAnsi="Verdana"/>
          <w:sz w:val="18"/>
          <w:szCs w:val="18"/>
        </w:rPr>
      </w:pPr>
      <w:r w:rsidRPr="004D3DC6">
        <w:rPr>
          <w:rFonts w:ascii="Verdana" w:hAnsi="Verdana"/>
          <w:sz w:val="18"/>
          <w:szCs w:val="18"/>
        </w:rPr>
        <w:t>- 100 injunctions;</w:t>
      </w:r>
    </w:p>
    <w:p w:rsidR="002063E2" w:rsidRPr="004D3DC6" w:rsidRDefault="002063E2" w:rsidP="0097447A">
      <w:pPr>
        <w:pStyle w:val="Lijstalinea"/>
        <w:spacing w:after="0" w:line="276" w:lineRule="auto"/>
        <w:ind w:left="1134"/>
        <w:jc w:val="both"/>
        <w:rPr>
          <w:rFonts w:ascii="Verdana" w:hAnsi="Verdana"/>
          <w:sz w:val="18"/>
          <w:szCs w:val="18"/>
        </w:rPr>
      </w:pPr>
      <w:r w:rsidRPr="004D3DC6">
        <w:rPr>
          <w:rFonts w:ascii="Verdana" w:hAnsi="Verdana"/>
          <w:sz w:val="18"/>
          <w:szCs w:val="18"/>
        </w:rPr>
        <w:t>- 150 notifications of the application of administrative sanctions.</w:t>
      </w:r>
    </w:p>
    <w:p w:rsidR="002063E2" w:rsidRPr="004D3DC6" w:rsidRDefault="002063E2" w:rsidP="0097447A">
      <w:pPr>
        <w:spacing w:after="0" w:line="276" w:lineRule="auto"/>
        <w:ind w:left="720"/>
        <w:contextualSpacing/>
        <w:jc w:val="both"/>
        <w:rPr>
          <w:rFonts w:ascii="Verdana" w:hAnsi="Verdana"/>
          <w:sz w:val="18"/>
          <w:szCs w:val="18"/>
        </w:rPr>
      </w:pPr>
      <w:r w:rsidRPr="004D3DC6">
        <w:rPr>
          <w:rFonts w:ascii="Verdana" w:hAnsi="Verdana"/>
          <w:sz w:val="18"/>
          <w:szCs w:val="18"/>
        </w:rPr>
        <w:t>An average check takes about 2 hours per firm (administrative employee)</w:t>
      </w:r>
      <w:r w:rsidR="00836A1E" w:rsidRPr="004D3DC6">
        <w:rPr>
          <w:rFonts w:ascii="Verdana" w:hAnsi="Verdana"/>
          <w:sz w:val="18"/>
          <w:szCs w:val="18"/>
        </w:rPr>
        <w:t xml:space="preserve"> for the government as well as the firm</w:t>
      </w:r>
      <w:r w:rsidRPr="004D3DC6">
        <w:rPr>
          <w:rFonts w:ascii="Verdana" w:hAnsi="Verdana"/>
          <w:sz w:val="18"/>
          <w:szCs w:val="18"/>
        </w:rPr>
        <w:t>. On average, the total annual number of administrative fines amounted to EUR 5 million.</w:t>
      </w:r>
    </w:p>
    <w:p w:rsidR="002F1F3D" w:rsidRPr="004D3DC6" w:rsidRDefault="002F1F3D" w:rsidP="0097447A">
      <w:pPr>
        <w:spacing w:after="0" w:line="276" w:lineRule="auto"/>
        <w:ind w:left="720"/>
        <w:contextualSpacing/>
        <w:jc w:val="both"/>
        <w:rPr>
          <w:rFonts w:ascii="Verdana" w:hAnsi="Verdana"/>
          <w:b/>
          <w:sz w:val="18"/>
          <w:szCs w:val="18"/>
        </w:rPr>
      </w:pPr>
      <w:r w:rsidRPr="004D3DC6">
        <w:rPr>
          <w:rFonts w:ascii="Verdana" w:hAnsi="Verdana"/>
          <w:b/>
          <w:sz w:val="18"/>
          <w:szCs w:val="18"/>
        </w:rPr>
        <w:t>Control</w:t>
      </w:r>
      <w:r w:rsidR="00836A1E" w:rsidRPr="004D3DC6">
        <w:rPr>
          <w:rFonts w:ascii="Verdana" w:hAnsi="Verdana"/>
          <w:b/>
          <w:sz w:val="18"/>
          <w:szCs w:val="18"/>
        </w:rPr>
        <w:t xml:space="preserve"> government</w:t>
      </w:r>
      <w:r w:rsidRPr="004D3DC6">
        <w:rPr>
          <w:rFonts w:ascii="Verdana" w:hAnsi="Verdana"/>
          <w:b/>
          <w:sz w:val="18"/>
          <w:szCs w:val="18"/>
        </w:rPr>
        <w:t>: 1,500 firms * 2 hours * 40 €/hour * 10 years</w:t>
      </w:r>
      <w:r w:rsidR="00D24B3E" w:rsidRPr="004D3DC6">
        <w:rPr>
          <w:rFonts w:ascii="Verdana" w:hAnsi="Verdana"/>
          <w:b/>
          <w:sz w:val="18"/>
          <w:szCs w:val="18"/>
        </w:rPr>
        <w:t xml:space="preserve"> = 1,200,000</w:t>
      </w:r>
      <w:r w:rsidR="0068154D" w:rsidRPr="004D3DC6">
        <w:rPr>
          <w:rFonts w:ascii="Verdana" w:hAnsi="Verdana"/>
          <w:b/>
          <w:sz w:val="18"/>
          <w:szCs w:val="18"/>
        </w:rPr>
        <w:t xml:space="preserve"> (enforcement)</w:t>
      </w:r>
    </w:p>
    <w:p w:rsidR="00836A1E" w:rsidRPr="004D3DC6" w:rsidRDefault="00836A1E" w:rsidP="0097447A">
      <w:pPr>
        <w:spacing w:after="0" w:line="276" w:lineRule="auto"/>
        <w:ind w:left="720"/>
        <w:contextualSpacing/>
        <w:jc w:val="both"/>
        <w:rPr>
          <w:rFonts w:ascii="Verdana" w:hAnsi="Verdana"/>
          <w:b/>
          <w:sz w:val="18"/>
          <w:szCs w:val="18"/>
        </w:rPr>
      </w:pPr>
      <w:r w:rsidRPr="004D3DC6">
        <w:rPr>
          <w:rFonts w:ascii="Verdana" w:hAnsi="Verdana"/>
          <w:b/>
          <w:sz w:val="18"/>
          <w:szCs w:val="18"/>
        </w:rPr>
        <w:t>Control firm: 1,500 firms * 2 hours * 40 €/hour * 10 years = 1,200,000 (enforcement)</w:t>
      </w:r>
    </w:p>
    <w:p w:rsidR="002F1F3D" w:rsidRPr="004D3DC6" w:rsidRDefault="002F1F3D" w:rsidP="0097447A">
      <w:pPr>
        <w:spacing w:after="0" w:line="276" w:lineRule="auto"/>
        <w:ind w:left="720"/>
        <w:contextualSpacing/>
        <w:jc w:val="both"/>
        <w:rPr>
          <w:rFonts w:ascii="Verdana" w:hAnsi="Verdana"/>
          <w:b/>
          <w:sz w:val="18"/>
          <w:szCs w:val="18"/>
        </w:rPr>
      </w:pPr>
      <w:r w:rsidRPr="004D3DC6">
        <w:rPr>
          <w:rFonts w:ascii="Verdana" w:hAnsi="Verdana"/>
          <w:b/>
          <w:sz w:val="18"/>
          <w:szCs w:val="18"/>
        </w:rPr>
        <w:t>Fines: 5,000,000 * 10 years</w:t>
      </w:r>
      <w:r w:rsidR="00D24B3E" w:rsidRPr="004D3DC6">
        <w:rPr>
          <w:rFonts w:ascii="Verdana" w:hAnsi="Verdana"/>
          <w:b/>
          <w:sz w:val="18"/>
          <w:szCs w:val="18"/>
        </w:rPr>
        <w:t xml:space="preserve"> = 50,000,000</w:t>
      </w:r>
      <w:r w:rsidR="0068154D" w:rsidRPr="004D3DC6">
        <w:rPr>
          <w:rFonts w:ascii="Verdana" w:hAnsi="Verdana"/>
          <w:b/>
          <w:sz w:val="18"/>
          <w:szCs w:val="18"/>
        </w:rPr>
        <w:t xml:space="preserve"> (enforcement)</w:t>
      </w:r>
    </w:p>
    <w:p w:rsidR="002063E2" w:rsidRPr="004D3DC6" w:rsidRDefault="002063E2" w:rsidP="0097447A">
      <w:pPr>
        <w:spacing w:after="0" w:line="276" w:lineRule="auto"/>
        <w:ind w:left="720" w:right="50"/>
        <w:contextualSpacing/>
        <w:jc w:val="both"/>
        <w:rPr>
          <w:rFonts w:ascii="Verdana" w:hAnsi="Verdana"/>
          <w:sz w:val="18"/>
          <w:szCs w:val="18"/>
        </w:rPr>
      </w:pPr>
    </w:p>
    <w:p w:rsidR="002063E2" w:rsidRPr="004D3DC6" w:rsidRDefault="002063E2" w:rsidP="0097447A">
      <w:pPr>
        <w:spacing w:after="0" w:line="276" w:lineRule="auto"/>
        <w:ind w:left="720" w:right="50"/>
        <w:contextualSpacing/>
        <w:jc w:val="both"/>
        <w:rPr>
          <w:rFonts w:ascii="Verdana" w:hAnsi="Verdana"/>
          <w:sz w:val="18"/>
          <w:szCs w:val="18"/>
        </w:rPr>
      </w:pPr>
      <w:r w:rsidRPr="004D3DC6">
        <w:rPr>
          <w:rFonts w:ascii="Verdana" w:hAnsi="Verdana"/>
          <w:sz w:val="18"/>
          <w:szCs w:val="18"/>
        </w:rPr>
        <w:t xml:space="preserve">The Late Payment Directive sets out a fixed sum of EUR 40 as compensation for recovery costs that the creditor is entitled to obtain from the debtor once interest for late payment has become payable. On average an administrative government employee spends 5 hours a week to make sure the system works correctly. Yearly, the system results in </w:t>
      </w:r>
      <w:r w:rsidR="00981A96" w:rsidRPr="004D3DC6">
        <w:rPr>
          <w:rFonts w:ascii="Verdana" w:hAnsi="Verdana"/>
          <w:sz w:val="18"/>
          <w:szCs w:val="18"/>
        </w:rPr>
        <w:t xml:space="preserve">EUR 2 million in compensation. </w:t>
      </w:r>
      <w:r w:rsidRPr="004D3DC6">
        <w:rPr>
          <w:rFonts w:ascii="Verdana" w:hAnsi="Verdana"/>
          <w:sz w:val="18"/>
          <w:szCs w:val="18"/>
        </w:rPr>
        <w:t>A system of tax regulations requires companies to fill in the correct forms, which have to be checked by the government. On average it takes about half an hour for an administrative employee to per application for the company as well as the government. On average 7,500 applications are filled in per year.</w:t>
      </w:r>
    </w:p>
    <w:p w:rsidR="002F1F3D" w:rsidRPr="004D3DC6" w:rsidRDefault="002F1F3D" w:rsidP="0097447A">
      <w:pPr>
        <w:spacing w:after="0" w:line="276" w:lineRule="auto"/>
        <w:ind w:left="720" w:right="50"/>
        <w:contextualSpacing/>
        <w:jc w:val="both"/>
        <w:rPr>
          <w:rFonts w:ascii="Verdana" w:hAnsi="Verdana"/>
          <w:b/>
          <w:sz w:val="18"/>
          <w:szCs w:val="18"/>
        </w:rPr>
      </w:pPr>
      <w:r w:rsidRPr="004D3DC6">
        <w:rPr>
          <w:rFonts w:ascii="Verdana" w:hAnsi="Verdana"/>
          <w:b/>
          <w:sz w:val="18"/>
          <w:szCs w:val="18"/>
        </w:rPr>
        <w:t>Control: 5 hours * 40 €/hour * 52 weeks * 10 years</w:t>
      </w:r>
      <w:r w:rsidR="00D24B3E" w:rsidRPr="004D3DC6">
        <w:rPr>
          <w:rFonts w:ascii="Verdana" w:hAnsi="Verdana"/>
          <w:b/>
          <w:sz w:val="18"/>
          <w:szCs w:val="18"/>
        </w:rPr>
        <w:t xml:space="preserve"> = 104,000</w:t>
      </w:r>
      <w:r w:rsidR="0068154D" w:rsidRPr="004D3DC6">
        <w:rPr>
          <w:rFonts w:ascii="Verdana" w:hAnsi="Verdana"/>
          <w:b/>
          <w:sz w:val="18"/>
          <w:szCs w:val="18"/>
        </w:rPr>
        <w:t xml:space="preserve"> (enforcement)</w:t>
      </w:r>
    </w:p>
    <w:p w:rsidR="002F1F3D" w:rsidRPr="004D3DC6" w:rsidRDefault="002F1F3D" w:rsidP="0097447A">
      <w:pPr>
        <w:spacing w:after="0" w:line="276" w:lineRule="auto"/>
        <w:ind w:left="720" w:right="50"/>
        <w:contextualSpacing/>
        <w:jc w:val="both"/>
        <w:rPr>
          <w:rFonts w:ascii="Verdana" w:hAnsi="Verdana"/>
          <w:b/>
          <w:sz w:val="18"/>
          <w:szCs w:val="18"/>
        </w:rPr>
      </w:pPr>
      <w:r w:rsidRPr="004D3DC6">
        <w:rPr>
          <w:rFonts w:ascii="Verdana" w:hAnsi="Verdana"/>
          <w:b/>
          <w:sz w:val="18"/>
          <w:szCs w:val="18"/>
        </w:rPr>
        <w:t>Compensation: 2,000,000 * 10 years</w:t>
      </w:r>
      <w:r w:rsidR="00D24B3E" w:rsidRPr="004D3DC6">
        <w:rPr>
          <w:rFonts w:ascii="Verdana" w:hAnsi="Verdana"/>
          <w:b/>
          <w:sz w:val="18"/>
          <w:szCs w:val="18"/>
        </w:rPr>
        <w:t xml:space="preserve"> = 20,000,000</w:t>
      </w:r>
      <w:r w:rsidR="0068154D" w:rsidRPr="004D3DC6">
        <w:rPr>
          <w:rFonts w:ascii="Verdana" w:hAnsi="Verdana"/>
          <w:b/>
          <w:sz w:val="18"/>
          <w:szCs w:val="18"/>
        </w:rPr>
        <w:t xml:space="preserve"> (enforcement)</w:t>
      </w:r>
    </w:p>
    <w:p w:rsidR="00365038" w:rsidRPr="004D3DC6" w:rsidRDefault="00365038" w:rsidP="0097447A">
      <w:pPr>
        <w:spacing w:after="0" w:line="276" w:lineRule="auto"/>
        <w:ind w:left="720" w:right="50"/>
        <w:contextualSpacing/>
        <w:jc w:val="both"/>
        <w:rPr>
          <w:rFonts w:ascii="Verdana" w:hAnsi="Verdana"/>
          <w:b/>
          <w:sz w:val="18"/>
          <w:szCs w:val="18"/>
        </w:rPr>
      </w:pPr>
    </w:p>
    <w:p w:rsidR="00365038" w:rsidRPr="004D3DC6" w:rsidRDefault="00365038" w:rsidP="0097447A">
      <w:pPr>
        <w:spacing w:after="0" w:line="276" w:lineRule="auto"/>
        <w:ind w:left="720" w:right="50"/>
        <w:contextualSpacing/>
        <w:jc w:val="both"/>
        <w:rPr>
          <w:rFonts w:ascii="Verdana" w:hAnsi="Verdana"/>
          <w:sz w:val="18"/>
          <w:szCs w:val="18"/>
        </w:rPr>
      </w:pPr>
      <w:r w:rsidRPr="004D3DC6">
        <w:rPr>
          <w:rFonts w:ascii="Verdana" w:hAnsi="Verdana"/>
          <w:sz w:val="18"/>
          <w:szCs w:val="18"/>
        </w:rPr>
        <w:t>A system of tax regulation requires the government to invest in a software and database infrastructure of EUR 250,000. On average a fulltime administrative government employee (38 hours/week) controls and registers the request for tax reduction. On average 30,000 applications for tax reductions are requested per year, which takes approximately 30 minutes per application of an administrative employees. On the one hand, the tax reduction results in less government revenues, but on the other hand in less costs for the companies. In other words this is a shift between the government and the companies. The average tax reduction amounts to EUR 300 per application.</w:t>
      </w:r>
    </w:p>
    <w:p w:rsidR="00365038" w:rsidRPr="004D3DC6" w:rsidRDefault="00365038" w:rsidP="0097447A">
      <w:pPr>
        <w:spacing w:after="0" w:line="276" w:lineRule="auto"/>
        <w:ind w:left="720"/>
        <w:contextualSpacing/>
        <w:jc w:val="both"/>
        <w:rPr>
          <w:rFonts w:ascii="Verdana" w:hAnsi="Verdana"/>
          <w:b/>
          <w:sz w:val="18"/>
          <w:szCs w:val="18"/>
        </w:rPr>
      </w:pPr>
      <w:r w:rsidRPr="004D3DC6">
        <w:rPr>
          <w:rFonts w:ascii="Verdana" w:hAnsi="Verdana"/>
          <w:b/>
          <w:sz w:val="18"/>
          <w:szCs w:val="18"/>
        </w:rPr>
        <w:t>Start-up: 250,000 (operational)</w:t>
      </w:r>
    </w:p>
    <w:p w:rsidR="00365038" w:rsidRPr="004D3DC6" w:rsidRDefault="00365038" w:rsidP="0097447A">
      <w:pPr>
        <w:spacing w:after="0" w:line="276" w:lineRule="auto"/>
        <w:ind w:left="720"/>
        <w:contextualSpacing/>
        <w:jc w:val="both"/>
        <w:rPr>
          <w:rFonts w:ascii="Verdana" w:hAnsi="Verdana"/>
          <w:b/>
          <w:sz w:val="18"/>
          <w:szCs w:val="18"/>
        </w:rPr>
      </w:pPr>
      <w:r w:rsidRPr="004D3DC6">
        <w:rPr>
          <w:rFonts w:ascii="Verdana" w:hAnsi="Verdana"/>
          <w:b/>
          <w:sz w:val="18"/>
          <w:szCs w:val="18"/>
        </w:rPr>
        <w:t xml:space="preserve">Government database: 38 hour * 40 €/hour * 52 weeks * 10 years = </w:t>
      </w:r>
      <w:r w:rsidR="00412807" w:rsidRPr="004D3DC6">
        <w:rPr>
          <w:rFonts w:ascii="Verdana" w:hAnsi="Verdana"/>
          <w:b/>
          <w:sz w:val="18"/>
          <w:szCs w:val="18"/>
        </w:rPr>
        <w:t>790</w:t>
      </w:r>
      <w:r w:rsidRPr="004D3DC6">
        <w:rPr>
          <w:rFonts w:ascii="Verdana" w:hAnsi="Verdana"/>
          <w:b/>
          <w:sz w:val="18"/>
          <w:szCs w:val="18"/>
        </w:rPr>
        <w:t>,</w:t>
      </w:r>
      <w:r w:rsidR="00412807" w:rsidRPr="004D3DC6">
        <w:rPr>
          <w:rFonts w:ascii="Verdana" w:hAnsi="Verdana"/>
          <w:b/>
          <w:sz w:val="18"/>
          <w:szCs w:val="18"/>
        </w:rPr>
        <w:t>400</w:t>
      </w:r>
      <w:r w:rsidRPr="004D3DC6">
        <w:rPr>
          <w:rFonts w:ascii="Verdana" w:hAnsi="Verdana"/>
          <w:b/>
          <w:sz w:val="18"/>
          <w:szCs w:val="18"/>
        </w:rPr>
        <w:t xml:space="preserve"> (</w:t>
      </w:r>
      <w:r w:rsidR="00955B7B" w:rsidRPr="004D3DC6">
        <w:rPr>
          <w:rFonts w:ascii="Verdana" w:hAnsi="Verdana"/>
          <w:b/>
          <w:sz w:val="18"/>
          <w:szCs w:val="18"/>
        </w:rPr>
        <w:t>administrative burden</w:t>
      </w:r>
      <w:r w:rsidRPr="004D3DC6">
        <w:rPr>
          <w:rFonts w:ascii="Verdana" w:hAnsi="Verdana"/>
          <w:b/>
          <w:sz w:val="18"/>
          <w:szCs w:val="18"/>
        </w:rPr>
        <w:t>)</w:t>
      </w:r>
    </w:p>
    <w:p w:rsidR="00412807" w:rsidRPr="004D3DC6" w:rsidRDefault="00365038" w:rsidP="0097447A">
      <w:pPr>
        <w:spacing w:after="0" w:line="276" w:lineRule="auto"/>
        <w:ind w:left="720"/>
        <w:contextualSpacing/>
        <w:jc w:val="both"/>
        <w:rPr>
          <w:rFonts w:ascii="Verdana" w:hAnsi="Verdana"/>
          <w:b/>
          <w:sz w:val="18"/>
          <w:szCs w:val="18"/>
        </w:rPr>
      </w:pPr>
      <w:r w:rsidRPr="004D3DC6">
        <w:rPr>
          <w:rFonts w:ascii="Verdana" w:hAnsi="Verdana"/>
          <w:b/>
          <w:sz w:val="18"/>
          <w:szCs w:val="18"/>
        </w:rPr>
        <w:t xml:space="preserve">Firm application: </w:t>
      </w:r>
      <w:r w:rsidR="00412807" w:rsidRPr="004D3DC6">
        <w:rPr>
          <w:rFonts w:ascii="Verdana" w:hAnsi="Verdana"/>
          <w:b/>
          <w:sz w:val="18"/>
          <w:szCs w:val="18"/>
        </w:rPr>
        <w:t>0.5 hour * 40 €/hour * 30,000 applications * 10 years = 6,000,000 (administrative burden)</w:t>
      </w:r>
    </w:p>
    <w:p w:rsidR="00412807" w:rsidRPr="004D3DC6" w:rsidRDefault="00412807" w:rsidP="0097447A">
      <w:pPr>
        <w:spacing w:after="0" w:line="276" w:lineRule="auto"/>
        <w:ind w:left="720"/>
        <w:contextualSpacing/>
        <w:jc w:val="both"/>
        <w:rPr>
          <w:rFonts w:ascii="Verdana" w:hAnsi="Verdana"/>
          <w:b/>
          <w:sz w:val="18"/>
          <w:szCs w:val="18"/>
        </w:rPr>
      </w:pPr>
      <w:r w:rsidRPr="004D3DC6">
        <w:rPr>
          <w:rFonts w:ascii="Verdana" w:hAnsi="Verdana"/>
          <w:b/>
          <w:sz w:val="18"/>
          <w:szCs w:val="18"/>
        </w:rPr>
        <w:t>Financial cost government: €300 * 30,000 applications</w:t>
      </w:r>
      <w:r w:rsidR="006100C4">
        <w:rPr>
          <w:rFonts w:ascii="Verdana" w:hAnsi="Verdana"/>
          <w:b/>
          <w:sz w:val="18"/>
          <w:szCs w:val="18"/>
        </w:rPr>
        <w:t xml:space="preserve"> = 9,000,000 </w:t>
      </w:r>
      <w:r w:rsidR="006100C4" w:rsidRPr="004D3DC6">
        <w:rPr>
          <w:rFonts w:ascii="Verdana" w:hAnsi="Verdana"/>
          <w:b/>
          <w:sz w:val="18"/>
          <w:szCs w:val="18"/>
        </w:rPr>
        <w:t>(financial)</w:t>
      </w:r>
    </w:p>
    <w:p w:rsidR="00412807" w:rsidRPr="004D3DC6" w:rsidRDefault="00412807" w:rsidP="006100C4">
      <w:pPr>
        <w:spacing w:after="0" w:line="276" w:lineRule="auto"/>
        <w:ind w:left="720"/>
        <w:contextualSpacing/>
        <w:jc w:val="both"/>
        <w:rPr>
          <w:rFonts w:ascii="Verdana" w:hAnsi="Verdana"/>
          <w:b/>
          <w:iCs/>
          <w:sz w:val="18"/>
          <w:szCs w:val="18"/>
        </w:rPr>
      </w:pPr>
      <w:r w:rsidRPr="004D3DC6">
        <w:rPr>
          <w:rFonts w:ascii="Verdana" w:hAnsi="Verdana"/>
          <w:b/>
          <w:sz w:val="18"/>
          <w:szCs w:val="18"/>
        </w:rPr>
        <w:t>Financial revenue firms: €300 * 30,000 applications</w:t>
      </w:r>
      <w:r w:rsidR="00F63773" w:rsidRPr="004D3DC6">
        <w:rPr>
          <w:rFonts w:ascii="Verdana" w:hAnsi="Verdana"/>
          <w:b/>
          <w:sz w:val="18"/>
          <w:szCs w:val="18"/>
        </w:rPr>
        <w:t xml:space="preserve"> </w:t>
      </w:r>
      <w:r w:rsidR="006100C4">
        <w:rPr>
          <w:rFonts w:ascii="Verdana" w:hAnsi="Verdana"/>
          <w:b/>
          <w:sz w:val="18"/>
          <w:szCs w:val="18"/>
        </w:rPr>
        <w:t xml:space="preserve">= 9,000,000 </w:t>
      </w:r>
      <w:r w:rsidR="006100C4" w:rsidRPr="004D3DC6">
        <w:rPr>
          <w:rFonts w:ascii="Verdana" w:hAnsi="Verdana"/>
          <w:b/>
          <w:sz w:val="18"/>
          <w:szCs w:val="18"/>
        </w:rPr>
        <w:t>(financial)</w:t>
      </w:r>
    </w:p>
    <w:p w:rsidR="00D84DC9" w:rsidRDefault="00D84DC9" w:rsidP="0097447A">
      <w:pPr>
        <w:spacing w:after="0" w:line="276" w:lineRule="auto"/>
        <w:contextualSpacing/>
        <w:rPr>
          <w:rFonts w:ascii="Verdana" w:hAnsi="Verdana"/>
          <w:b/>
          <w:iCs/>
          <w:sz w:val="16"/>
          <w:szCs w:val="18"/>
        </w:rPr>
      </w:pPr>
      <w:r>
        <w:rPr>
          <w:rFonts w:ascii="Verdana" w:hAnsi="Verdana"/>
          <w:b/>
          <w:i/>
          <w:sz w:val="16"/>
        </w:rPr>
        <w:br w:type="page"/>
      </w:r>
    </w:p>
    <w:p w:rsidR="002063E2" w:rsidRPr="00D84DC9" w:rsidRDefault="002063E2" w:rsidP="0097447A">
      <w:pPr>
        <w:pStyle w:val="Bijschrift"/>
        <w:keepNext/>
        <w:spacing w:after="0" w:line="276" w:lineRule="auto"/>
        <w:contextualSpacing/>
        <w:jc w:val="center"/>
        <w:rPr>
          <w:rFonts w:ascii="Verdana" w:hAnsi="Verdana"/>
          <w:b/>
          <w:i w:val="0"/>
          <w:color w:val="auto"/>
          <w:sz w:val="16"/>
        </w:rPr>
      </w:pPr>
      <w:r w:rsidRPr="00D84DC9">
        <w:rPr>
          <w:rFonts w:ascii="Verdana" w:hAnsi="Verdana"/>
          <w:b/>
          <w:i w:val="0"/>
          <w:color w:val="auto"/>
          <w:sz w:val="16"/>
        </w:rPr>
        <w:lastRenderedPageBreak/>
        <w:t xml:space="preserve">Table </w:t>
      </w:r>
      <w:r w:rsidR="00385B66" w:rsidRPr="00D84DC9">
        <w:rPr>
          <w:rFonts w:ascii="Verdana" w:hAnsi="Verdana"/>
          <w:b/>
          <w:i w:val="0"/>
          <w:color w:val="auto"/>
          <w:sz w:val="16"/>
        </w:rPr>
        <w:t>2</w:t>
      </w:r>
      <w:r w:rsidRPr="00D84DC9">
        <w:rPr>
          <w:rFonts w:ascii="Verdana" w:hAnsi="Verdana"/>
          <w:b/>
          <w:i w:val="0"/>
          <w:color w:val="auto"/>
          <w:sz w:val="16"/>
        </w:rPr>
        <w:t>: wages</w:t>
      </w:r>
    </w:p>
    <w:tbl>
      <w:tblPr>
        <w:tblStyle w:val="Tabelraster"/>
        <w:tblW w:w="0" w:type="auto"/>
        <w:jc w:val="center"/>
        <w:tblLook w:val="04A0" w:firstRow="1" w:lastRow="0" w:firstColumn="1" w:lastColumn="0" w:noHBand="0" w:noVBand="1"/>
      </w:tblPr>
      <w:tblGrid>
        <w:gridCol w:w="3089"/>
        <w:gridCol w:w="1281"/>
      </w:tblGrid>
      <w:tr w:rsidR="00D84DC9" w:rsidRPr="004D3DC6" w:rsidTr="00D84DC9">
        <w:trPr>
          <w:jc w:val="center"/>
        </w:trPr>
        <w:tc>
          <w:tcPr>
            <w:tcW w:w="4370" w:type="dxa"/>
            <w:gridSpan w:val="2"/>
            <w:shd w:val="clear" w:color="auto" w:fill="D9D9D9" w:themeFill="background1" w:themeFillShade="D9"/>
          </w:tcPr>
          <w:p w:rsidR="00D84DC9" w:rsidRPr="004D3DC6" w:rsidRDefault="00D84DC9" w:rsidP="0097447A">
            <w:pPr>
              <w:spacing w:line="276" w:lineRule="auto"/>
              <w:contextualSpacing/>
              <w:rPr>
                <w:rFonts w:ascii="Verdana" w:hAnsi="Verdana"/>
                <w:sz w:val="18"/>
                <w:szCs w:val="18"/>
              </w:rPr>
            </w:pPr>
            <w:r w:rsidRPr="004D3DC6">
              <w:rPr>
                <w:rFonts w:ascii="Verdana" w:hAnsi="Verdana"/>
                <w:b/>
                <w:sz w:val="18"/>
                <w:szCs w:val="18"/>
              </w:rPr>
              <w:t>Business</w:t>
            </w:r>
          </w:p>
        </w:tc>
      </w:tr>
      <w:tr w:rsidR="002063E2" w:rsidRPr="004D3DC6" w:rsidTr="00DF1A27">
        <w:trPr>
          <w:jc w:val="center"/>
        </w:trPr>
        <w:tc>
          <w:tcPr>
            <w:tcW w:w="3089" w:type="dxa"/>
          </w:tcPr>
          <w:p w:rsidR="002063E2" w:rsidRPr="004D3DC6" w:rsidRDefault="002063E2" w:rsidP="0097447A">
            <w:pPr>
              <w:spacing w:line="276" w:lineRule="auto"/>
              <w:ind w:left="171"/>
              <w:contextualSpacing/>
              <w:rPr>
                <w:rFonts w:ascii="Verdana" w:hAnsi="Verdana"/>
                <w:b/>
                <w:i/>
                <w:sz w:val="18"/>
                <w:szCs w:val="18"/>
              </w:rPr>
            </w:pPr>
            <w:r w:rsidRPr="004D3DC6">
              <w:rPr>
                <w:rFonts w:ascii="Verdana" w:hAnsi="Verdana"/>
                <w:i/>
                <w:sz w:val="18"/>
                <w:szCs w:val="18"/>
              </w:rPr>
              <w:t>Financial director</w:t>
            </w:r>
          </w:p>
        </w:tc>
        <w:tc>
          <w:tcPr>
            <w:tcW w:w="1281" w:type="dxa"/>
          </w:tcPr>
          <w:p w:rsidR="002063E2" w:rsidRPr="004D3DC6" w:rsidRDefault="002063E2" w:rsidP="0097447A">
            <w:pPr>
              <w:spacing w:line="276" w:lineRule="auto"/>
              <w:contextualSpacing/>
              <w:rPr>
                <w:rFonts w:ascii="Verdana" w:hAnsi="Verdana"/>
                <w:sz w:val="18"/>
                <w:szCs w:val="18"/>
              </w:rPr>
            </w:pPr>
            <w:r w:rsidRPr="004D3DC6">
              <w:rPr>
                <w:rFonts w:ascii="Verdana" w:hAnsi="Verdana"/>
                <w:sz w:val="18"/>
                <w:szCs w:val="18"/>
              </w:rPr>
              <w:t>€100/hour</w:t>
            </w:r>
          </w:p>
        </w:tc>
      </w:tr>
      <w:tr w:rsidR="002063E2" w:rsidRPr="004D3DC6" w:rsidTr="00DF1A27">
        <w:trPr>
          <w:jc w:val="center"/>
        </w:trPr>
        <w:tc>
          <w:tcPr>
            <w:tcW w:w="3089" w:type="dxa"/>
          </w:tcPr>
          <w:p w:rsidR="002063E2" w:rsidRPr="004D3DC6" w:rsidRDefault="002063E2" w:rsidP="0097447A">
            <w:pPr>
              <w:spacing w:line="276" w:lineRule="auto"/>
              <w:ind w:left="171"/>
              <w:contextualSpacing/>
              <w:rPr>
                <w:rFonts w:ascii="Verdana" w:hAnsi="Verdana"/>
                <w:b/>
                <w:i/>
                <w:sz w:val="18"/>
                <w:szCs w:val="18"/>
              </w:rPr>
            </w:pPr>
            <w:r w:rsidRPr="004D3DC6">
              <w:rPr>
                <w:rFonts w:ascii="Verdana" w:hAnsi="Verdana"/>
                <w:i/>
                <w:sz w:val="18"/>
                <w:szCs w:val="18"/>
              </w:rPr>
              <w:t>Corporate manager</w:t>
            </w:r>
          </w:p>
        </w:tc>
        <w:tc>
          <w:tcPr>
            <w:tcW w:w="1281" w:type="dxa"/>
          </w:tcPr>
          <w:p w:rsidR="002063E2" w:rsidRPr="004D3DC6" w:rsidRDefault="002063E2" w:rsidP="0097447A">
            <w:pPr>
              <w:spacing w:line="276" w:lineRule="auto"/>
              <w:contextualSpacing/>
              <w:rPr>
                <w:rFonts w:ascii="Verdana" w:hAnsi="Verdana"/>
                <w:sz w:val="18"/>
                <w:szCs w:val="18"/>
              </w:rPr>
            </w:pPr>
            <w:r w:rsidRPr="004D3DC6">
              <w:rPr>
                <w:rFonts w:ascii="Verdana" w:hAnsi="Verdana"/>
                <w:sz w:val="18"/>
                <w:szCs w:val="18"/>
              </w:rPr>
              <w:t>€70/hour</w:t>
            </w:r>
          </w:p>
        </w:tc>
      </w:tr>
      <w:tr w:rsidR="002063E2" w:rsidRPr="004D3DC6" w:rsidTr="00DF1A27">
        <w:trPr>
          <w:jc w:val="center"/>
        </w:trPr>
        <w:tc>
          <w:tcPr>
            <w:tcW w:w="3089" w:type="dxa"/>
          </w:tcPr>
          <w:p w:rsidR="002063E2" w:rsidRPr="004D3DC6" w:rsidRDefault="002063E2" w:rsidP="0097447A">
            <w:pPr>
              <w:spacing w:line="276" w:lineRule="auto"/>
              <w:ind w:left="171"/>
              <w:contextualSpacing/>
              <w:rPr>
                <w:rFonts w:ascii="Verdana" w:hAnsi="Verdana"/>
                <w:b/>
                <w:i/>
                <w:sz w:val="18"/>
                <w:szCs w:val="18"/>
              </w:rPr>
            </w:pPr>
            <w:r w:rsidRPr="004D3DC6">
              <w:rPr>
                <w:rFonts w:ascii="Verdana" w:hAnsi="Verdana"/>
                <w:i/>
                <w:sz w:val="18"/>
                <w:szCs w:val="18"/>
              </w:rPr>
              <w:t>Administrative employees</w:t>
            </w:r>
          </w:p>
        </w:tc>
        <w:tc>
          <w:tcPr>
            <w:tcW w:w="1281" w:type="dxa"/>
          </w:tcPr>
          <w:p w:rsidR="002063E2" w:rsidRPr="004D3DC6" w:rsidRDefault="002063E2" w:rsidP="0097447A">
            <w:pPr>
              <w:spacing w:line="276" w:lineRule="auto"/>
              <w:contextualSpacing/>
              <w:rPr>
                <w:rFonts w:ascii="Verdana" w:hAnsi="Verdana"/>
                <w:sz w:val="18"/>
                <w:szCs w:val="18"/>
              </w:rPr>
            </w:pPr>
            <w:r w:rsidRPr="004D3DC6">
              <w:rPr>
                <w:rFonts w:ascii="Verdana" w:hAnsi="Verdana"/>
                <w:sz w:val="18"/>
                <w:szCs w:val="18"/>
              </w:rPr>
              <w:t>€40/hour</w:t>
            </w:r>
          </w:p>
        </w:tc>
      </w:tr>
      <w:tr w:rsidR="002063E2" w:rsidRPr="004D3DC6" w:rsidTr="00DF1A27">
        <w:trPr>
          <w:jc w:val="center"/>
        </w:trPr>
        <w:tc>
          <w:tcPr>
            <w:tcW w:w="3089" w:type="dxa"/>
          </w:tcPr>
          <w:p w:rsidR="002063E2" w:rsidRPr="004D3DC6" w:rsidRDefault="002063E2" w:rsidP="0097447A">
            <w:pPr>
              <w:spacing w:line="276" w:lineRule="auto"/>
              <w:ind w:left="171"/>
              <w:contextualSpacing/>
              <w:rPr>
                <w:rFonts w:ascii="Verdana" w:hAnsi="Verdana"/>
                <w:i/>
                <w:sz w:val="18"/>
                <w:szCs w:val="18"/>
              </w:rPr>
            </w:pPr>
            <w:r w:rsidRPr="004D3DC6">
              <w:rPr>
                <w:rFonts w:ascii="Verdana" w:hAnsi="Verdana"/>
                <w:i/>
                <w:sz w:val="18"/>
                <w:szCs w:val="18"/>
              </w:rPr>
              <w:t>Lawyer</w:t>
            </w:r>
          </w:p>
        </w:tc>
        <w:tc>
          <w:tcPr>
            <w:tcW w:w="1281" w:type="dxa"/>
          </w:tcPr>
          <w:p w:rsidR="002063E2" w:rsidRPr="004D3DC6" w:rsidRDefault="002063E2" w:rsidP="0097447A">
            <w:pPr>
              <w:spacing w:line="276" w:lineRule="auto"/>
              <w:contextualSpacing/>
              <w:rPr>
                <w:rFonts w:ascii="Verdana" w:hAnsi="Verdana"/>
                <w:sz w:val="18"/>
                <w:szCs w:val="18"/>
              </w:rPr>
            </w:pPr>
            <w:r w:rsidRPr="004D3DC6">
              <w:rPr>
                <w:rFonts w:ascii="Verdana" w:hAnsi="Verdana"/>
                <w:sz w:val="18"/>
                <w:szCs w:val="18"/>
              </w:rPr>
              <w:t>€90/hour</w:t>
            </w:r>
          </w:p>
        </w:tc>
      </w:tr>
      <w:tr w:rsidR="002063E2" w:rsidRPr="004D3DC6" w:rsidTr="00DF1A27">
        <w:trPr>
          <w:jc w:val="center"/>
        </w:trPr>
        <w:tc>
          <w:tcPr>
            <w:tcW w:w="3089" w:type="dxa"/>
          </w:tcPr>
          <w:p w:rsidR="002063E2" w:rsidRPr="004D3DC6" w:rsidRDefault="002063E2" w:rsidP="0097447A">
            <w:pPr>
              <w:spacing w:line="276" w:lineRule="auto"/>
              <w:ind w:left="171"/>
              <w:contextualSpacing/>
              <w:rPr>
                <w:rFonts w:ascii="Verdana" w:hAnsi="Verdana"/>
                <w:i/>
                <w:sz w:val="18"/>
                <w:szCs w:val="18"/>
              </w:rPr>
            </w:pPr>
            <w:r w:rsidRPr="004D3DC6">
              <w:rPr>
                <w:rFonts w:ascii="Verdana" w:hAnsi="Verdana"/>
                <w:i/>
                <w:sz w:val="18"/>
                <w:szCs w:val="18"/>
              </w:rPr>
              <w:t xml:space="preserve">Negotiator </w:t>
            </w:r>
          </w:p>
        </w:tc>
        <w:tc>
          <w:tcPr>
            <w:tcW w:w="1281" w:type="dxa"/>
          </w:tcPr>
          <w:p w:rsidR="002063E2" w:rsidRPr="004D3DC6" w:rsidRDefault="002063E2" w:rsidP="0097447A">
            <w:pPr>
              <w:spacing w:line="276" w:lineRule="auto"/>
              <w:contextualSpacing/>
              <w:rPr>
                <w:rFonts w:ascii="Verdana" w:hAnsi="Verdana"/>
                <w:sz w:val="18"/>
                <w:szCs w:val="18"/>
              </w:rPr>
            </w:pPr>
            <w:r w:rsidRPr="004D3DC6">
              <w:rPr>
                <w:rFonts w:ascii="Verdana" w:hAnsi="Verdana"/>
                <w:sz w:val="18"/>
                <w:szCs w:val="18"/>
              </w:rPr>
              <w:t>€60/hour</w:t>
            </w:r>
          </w:p>
        </w:tc>
      </w:tr>
      <w:tr w:rsidR="00D84DC9" w:rsidRPr="004D3DC6" w:rsidTr="00D84DC9">
        <w:trPr>
          <w:jc w:val="center"/>
        </w:trPr>
        <w:tc>
          <w:tcPr>
            <w:tcW w:w="4370" w:type="dxa"/>
            <w:gridSpan w:val="2"/>
            <w:shd w:val="clear" w:color="auto" w:fill="D9D9D9" w:themeFill="background1" w:themeFillShade="D9"/>
          </w:tcPr>
          <w:p w:rsidR="00D84DC9" w:rsidRPr="004D3DC6" w:rsidRDefault="00D84DC9" w:rsidP="0097447A">
            <w:pPr>
              <w:spacing w:line="276" w:lineRule="auto"/>
              <w:contextualSpacing/>
              <w:rPr>
                <w:rFonts w:ascii="Verdana" w:hAnsi="Verdana"/>
                <w:sz w:val="18"/>
                <w:szCs w:val="18"/>
              </w:rPr>
            </w:pPr>
            <w:r w:rsidRPr="004D3DC6">
              <w:rPr>
                <w:rFonts w:ascii="Verdana" w:hAnsi="Verdana"/>
                <w:b/>
                <w:sz w:val="18"/>
                <w:szCs w:val="18"/>
              </w:rPr>
              <w:t>Institution</w:t>
            </w:r>
          </w:p>
        </w:tc>
      </w:tr>
      <w:tr w:rsidR="002063E2" w:rsidRPr="004D3DC6" w:rsidTr="00DF1A27">
        <w:trPr>
          <w:jc w:val="center"/>
        </w:trPr>
        <w:tc>
          <w:tcPr>
            <w:tcW w:w="3089" w:type="dxa"/>
          </w:tcPr>
          <w:p w:rsidR="002063E2" w:rsidRPr="004D3DC6" w:rsidRDefault="002063E2" w:rsidP="0097447A">
            <w:pPr>
              <w:spacing w:line="276" w:lineRule="auto"/>
              <w:ind w:left="171"/>
              <w:contextualSpacing/>
              <w:rPr>
                <w:rFonts w:ascii="Verdana" w:hAnsi="Verdana"/>
                <w:sz w:val="18"/>
                <w:szCs w:val="18"/>
              </w:rPr>
            </w:pPr>
            <w:r w:rsidRPr="004D3DC6">
              <w:rPr>
                <w:rFonts w:ascii="Verdana" w:hAnsi="Verdana"/>
                <w:i/>
                <w:sz w:val="18"/>
                <w:szCs w:val="18"/>
              </w:rPr>
              <w:t>Web design and developer</w:t>
            </w:r>
          </w:p>
        </w:tc>
        <w:tc>
          <w:tcPr>
            <w:tcW w:w="1281" w:type="dxa"/>
          </w:tcPr>
          <w:p w:rsidR="002063E2" w:rsidRPr="004D3DC6" w:rsidRDefault="002063E2" w:rsidP="0097447A">
            <w:pPr>
              <w:spacing w:line="276" w:lineRule="auto"/>
              <w:contextualSpacing/>
              <w:rPr>
                <w:rFonts w:ascii="Verdana" w:hAnsi="Verdana"/>
                <w:sz w:val="18"/>
                <w:szCs w:val="18"/>
              </w:rPr>
            </w:pPr>
            <w:r w:rsidRPr="004D3DC6">
              <w:rPr>
                <w:rFonts w:ascii="Verdana" w:hAnsi="Verdana"/>
                <w:sz w:val="18"/>
                <w:szCs w:val="18"/>
              </w:rPr>
              <w:t>€45/hour</w:t>
            </w:r>
          </w:p>
        </w:tc>
      </w:tr>
      <w:tr w:rsidR="002063E2" w:rsidRPr="004D3DC6" w:rsidTr="00DF1A27">
        <w:trPr>
          <w:jc w:val="center"/>
        </w:trPr>
        <w:tc>
          <w:tcPr>
            <w:tcW w:w="3089" w:type="dxa"/>
          </w:tcPr>
          <w:p w:rsidR="002063E2" w:rsidRPr="004D3DC6" w:rsidRDefault="002063E2" w:rsidP="0097447A">
            <w:pPr>
              <w:spacing w:line="276" w:lineRule="auto"/>
              <w:ind w:left="171"/>
              <w:contextualSpacing/>
              <w:rPr>
                <w:rFonts w:ascii="Verdana" w:hAnsi="Verdana"/>
                <w:i/>
                <w:sz w:val="18"/>
                <w:szCs w:val="18"/>
              </w:rPr>
            </w:pPr>
            <w:r w:rsidRPr="004D3DC6">
              <w:rPr>
                <w:rFonts w:ascii="Verdana" w:hAnsi="Verdana"/>
                <w:i/>
                <w:sz w:val="18"/>
                <w:szCs w:val="18"/>
              </w:rPr>
              <w:t>Administrative employees</w:t>
            </w:r>
          </w:p>
        </w:tc>
        <w:tc>
          <w:tcPr>
            <w:tcW w:w="1281" w:type="dxa"/>
          </w:tcPr>
          <w:p w:rsidR="002063E2" w:rsidRPr="004D3DC6" w:rsidRDefault="002063E2" w:rsidP="0097447A">
            <w:pPr>
              <w:spacing w:line="276" w:lineRule="auto"/>
              <w:contextualSpacing/>
              <w:rPr>
                <w:rFonts w:ascii="Verdana" w:hAnsi="Verdana"/>
                <w:sz w:val="18"/>
                <w:szCs w:val="18"/>
              </w:rPr>
            </w:pPr>
            <w:r w:rsidRPr="004D3DC6">
              <w:rPr>
                <w:rFonts w:ascii="Verdana" w:hAnsi="Verdana"/>
                <w:sz w:val="18"/>
                <w:szCs w:val="18"/>
              </w:rPr>
              <w:t>€40/hour</w:t>
            </w:r>
          </w:p>
        </w:tc>
      </w:tr>
    </w:tbl>
    <w:p w:rsidR="002063E2" w:rsidRPr="004D3DC6" w:rsidRDefault="002063E2" w:rsidP="0097447A">
      <w:pPr>
        <w:spacing w:after="0" w:line="276" w:lineRule="auto"/>
        <w:ind w:left="720"/>
        <w:contextualSpacing/>
        <w:rPr>
          <w:rFonts w:ascii="Verdana" w:hAnsi="Verdana"/>
          <w:b/>
          <w:sz w:val="18"/>
          <w:szCs w:val="18"/>
        </w:rPr>
      </w:pPr>
    </w:p>
    <w:p w:rsidR="002063E2" w:rsidRPr="004D3DC6" w:rsidRDefault="002063E2" w:rsidP="0097447A">
      <w:pPr>
        <w:spacing w:after="0" w:line="276" w:lineRule="auto"/>
        <w:ind w:left="720"/>
        <w:contextualSpacing/>
        <w:rPr>
          <w:rFonts w:ascii="Verdana" w:hAnsi="Verdana"/>
          <w:b/>
          <w:sz w:val="18"/>
          <w:szCs w:val="18"/>
        </w:rPr>
      </w:pPr>
    </w:p>
    <w:p w:rsidR="002063E2" w:rsidRPr="004D3DC6" w:rsidRDefault="00836A1E" w:rsidP="0097447A">
      <w:pPr>
        <w:spacing w:after="0" w:line="276" w:lineRule="auto"/>
        <w:ind w:left="720"/>
        <w:contextualSpacing/>
        <w:jc w:val="both"/>
        <w:rPr>
          <w:rFonts w:ascii="Verdana" w:hAnsi="Verdana"/>
          <w:sz w:val="18"/>
          <w:szCs w:val="18"/>
        </w:rPr>
      </w:pPr>
      <w:r w:rsidRPr="004D3DC6">
        <w:rPr>
          <w:rFonts w:ascii="Verdana" w:hAnsi="Verdana"/>
          <w:sz w:val="18"/>
          <w:szCs w:val="18"/>
        </w:rPr>
        <w:t>A survey of 1,000 Polish companies showed that these 6 Polish measurements</w:t>
      </w:r>
      <w:r w:rsidR="002063E2" w:rsidRPr="004D3DC6">
        <w:rPr>
          <w:rFonts w:ascii="Verdana" w:hAnsi="Verdana"/>
          <w:sz w:val="18"/>
          <w:szCs w:val="18"/>
        </w:rPr>
        <w:t xml:space="preserve"> </w:t>
      </w:r>
      <w:r w:rsidRPr="004D3DC6">
        <w:rPr>
          <w:rFonts w:ascii="Verdana" w:hAnsi="Verdana"/>
          <w:sz w:val="18"/>
          <w:szCs w:val="18"/>
        </w:rPr>
        <w:t>increased trust</w:t>
      </w:r>
      <w:r w:rsidR="002063E2" w:rsidRPr="004D3DC6">
        <w:rPr>
          <w:rFonts w:ascii="Verdana" w:hAnsi="Verdana"/>
          <w:sz w:val="18"/>
          <w:szCs w:val="18"/>
        </w:rPr>
        <w:t xml:space="preserve"> with 30%-points compared </w:t>
      </w:r>
      <w:r w:rsidRPr="004D3DC6">
        <w:rPr>
          <w:rFonts w:ascii="Verdana" w:hAnsi="Verdana"/>
          <w:sz w:val="18"/>
          <w:szCs w:val="18"/>
        </w:rPr>
        <w:t>to</w:t>
      </w:r>
      <w:r w:rsidR="002063E2" w:rsidRPr="004D3DC6">
        <w:rPr>
          <w:rFonts w:ascii="Verdana" w:hAnsi="Verdana"/>
          <w:sz w:val="18"/>
          <w:szCs w:val="18"/>
        </w:rPr>
        <w:t xml:space="preserve"> the status quo option. Due to the measurements, the liquidity positions of the companies increased and led to more investments. In total the policy measures </w:t>
      </w:r>
      <w:r w:rsidRPr="004D3DC6">
        <w:rPr>
          <w:rFonts w:ascii="Verdana" w:hAnsi="Verdana"/>
          <w:sz w:val="18"/>
          <w:szCs w:val="18"/>
        </w:rPr>
        <w:t>will lead</w:t>
      </w:r>
      <w:r w:rsidR="002063E2" w:rsidRPr="004D3DC6">
        <w:rPr>
          <w:rFonts w:ascii="Verdana" w:hAnsi="Verdana"/>
          <w:sz w:val="18"/>
          <w:szCs w:val="18"/>
        </w:rPr>
        <w:t xml:space="preserve"> to an increase of 20,000 employers. On average, the payment delay decreased with 15 days due to the various policy measures. This also led to less costs in loans and credits for companies, for a total of EUR 5</w:t>
      </w:r>
      <w:r w:rsidR="00385B66" w:rsidRPr="004D3DC6">
        <w:rPr>
          <w:rFonts w:ascii="Verdana" w:hAnsi="Verdana"/>
          <w:sz w:val="18"/>
          <w:szCs w:val="18"/>
        </w:rPr>
        <w:t>0</w:t>
      </w:r>
      <w:r w:rsidR="002063E2" w:rsidRPr="004D3DC6">
        <w:rPr>
          <w:rFonts w:ascii="Verdana" w:hAnsi="Verdana"/>
          <w:sz w:val="18"/>
          <w:szCs w:val="18"/>
        </w:rPr>
        <w:t xml:space="preserve"> million per year.</w:t>
      </w:r>
    </w:p>
    <w:p w:rsidR="00385B66" w:rsidRPr="004D3DC6" w:rsidRDefault="00385B66" w:rsidP="0097447A">
      <w:pPr>
        <w:spacing w:after="0" w:line="276" w:lineRule="auto"/>
        <w:ind w:left="720"/>
        <w:contextualSpacing/>
        <w:jc w:val="both"/>
        <w:rPr>
          <w:rFonts w:ascii="Verdana" w:hAnsi="Verdana"/>
          <w:sz w:val="18"/>
          <w:szCs w:val="18"/>
        </w:rPr>
      </w:pPr>
    </w:p>
    <w:p w:rsidR="00385B66" w:rsidRPr="004D3DC6" w:rsidRDefault="00385B66" w:rsidP="0097447A">
      <w:pPr>
        <w:spacing w:after="0" w:line="276" w:lineRule="auto"/>
        <w:ind w:left="720"/>
        <w:contextualSpacing/>
        <w:jc w:val="both"/>
        <w:rPr>
          <w:rFonts w:ascii="Verdana" w:hAnsi="Verdana"/>
          <w:sz w:val="18"/>
          <w:szCs w:val="18"/>
        </w:rPr>
      </w:pPr>
      <w:r w:rsidRPr="004D3DC6">
        <w:rPr>
          <w:rFonts w:ascii="Verdana" w:hAnsi="Verdana"/>
          <w:sz w:val="18"/>
          <w:szCs w:val="18"/>
        </w:rPr>
        <w:t xml:space="preserve">Besides lawyer cost savings due to the organisation of an alternative dispute resolution system, other measures also reduce late payments. On average, it saves each 5,000 SME 4 hours of lawyer costs each year. </w:t>
      </w:r>
    </w:p>
    <w:p w:rsidR="00385B66" w:rsidRDefault="00385B66" w:rsidP="0097447A">
      <w:pPr>
        <w:spacing w:after="0" w:line="276" w:lineRule="auto"/>
        <w:ind w:left="720"/>
        <w:contextualSpacing/>
        <w:jc w:val="both"/>
        <w:rPr>
          <w:rFonts w:ascii="Verdana" w:hAnsi="Verdana"/>
          <w:b/>
          <w:sz w:val="18"/>
          <w:szCs w:val="18"/>
        </w:rPr>
      </w:pPr>
      <w:r w:rsidRPr="004D3DC6">
        <w:rPr>
          <w:rFonts w:ascii="Verdana" w:hAnsi="Verdana"/>
          <w:b/>
          <w:sz w:val="18"/>
          <w:szCs w:val="18"/>
        </w:rPr>
        <w:t>Lawyer: 5,000 SMEs * 4 hours * 90 €/hour * 10 years</w:t>
      </w:r>
      <w:r w:rsidR="00D24B3E" w:rsidRPr="004D3DC6">
        <w:rPr>
          <w:rFonts w:ascii="Verdana" w:hAnsi="Verdana"/>
          <w:b/>
          <w:sz w:val="18"/>
          <w:szCs w:val="18"/>
        </w:rPr>
        <w:t xml:space="preserve"> = 18,000,000</w:t>
      </w:r>
      <w:r w:rsidR="0068154D" w:rsidRPr="004D3DC6">
        <w:rPr>
          <w:rFonts w:ascii="Verdana" w:hAnsi="Verdana"/>
          <w:b/>
          <w:sz w:val="18"/>
          <w:szCs w:val="18"/>
        </w:rPr>
        <w:t xml:space="preserve">  (enforcement)</w:t>
      </w:r>
    </w:p>
    <w:p w:rsidR="00C77DAF" w:rsidRPr="004D3DC6" w:rsidRDefault="00C77DAF" w:rsidP="0097447A">
      <w:pPr>
        <w:spacing w:after="0" w:line="276" w:lineRule="auto"/>
        <w:ind w:left="720"/>
        <w:contextualSpacing/>
        <w:jc w:val="both"/>
        <w:rPr>
          <w:rFonts w:ascii="Verdana" w:hAnsi="Verdana"/>
          <w:b/>
          <w:sz w:val="18"/>
          <w:szCs w:val="18"/>
        </w:rPr>
      </w:pPr>
    </w:p>
    <w:p w:rsidR="002063E2" w:rsidRPr="004D3DC6" w:rsidRDefault="00C77DAF" w:rsidP="00C77DAF">
      <w:pPr>
        <w:spacing w:after="0" w:line="276" w:lineRule="auto"/>
        <w:contextualSpacing/>
        <w:jc w:val="center"/>
        <w:rPr>
          <w:rFonts w:ascii="Verdana" w:hAnsi="Verdana"/>
          <w:b/>
          <w:sz w:val="18"/>
          <w:szCs w:val="18"/>
        </w:rPr>
      </w:pPr>
      <w:r>
        <w:rPr>
          <w:noProof/>
        </w:rPr>
        <w:drawing>
          <wp:inline distT="0" distB="0" distL="0" distR="0" wp14:anchorId="03C3BE56" wp14:editId="076994C8">
            <wp:extent cx="2933700" cy="1943100"/>
            <wp:effectExtent l="0" t="0" r="0" b="0"/>
            <wp:docPr id="16" name="Afbeelding 16" descr="Afbeeldingsresultaat voor late payment direc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late payment directiv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33700" cy="1943100"/>
                    </a:xfrm>
                    <a:prstGeom prst="rect">
                      <a:avLst/>
                    </a:prstGeom>
                    <a:noFill/>
                    <a:ln>
                      <a:noFill/>
                    </a:ln>
                  </pic:spPr>
                </pic:pic>
              </a:graphicData>
            </a:graphic>
          </wp:inline>
        </w:drawing>
      </w:r>
    </w:p>
    <w:p w:rsidR="00D24B3E" w:rsidRPr="004D3DC6" w:rsidRDefault="00D24B3E" w:rsidP="0097447A">
      <w:pPr>
        <w:spacing w:after="0" w:line="276" w:lineRule="auto"/>
        <w:contextualSpacing/>
        <w:rPr>
          <w:rFonts w:ascii="Verdana" w:hAnsi="Verdana"/>
          <w:b/>
          <w:sz w:val="18"/>
          <w:szCs w:val="18"/>
        </w:rPr>
      </w:pPr>
    </w:p>
    <w:p w:rsidR="002063E2" w:rsidRPr="004D3DC6" w:rsidRDefault="002063E2" w:rsidP="0097447A">
      <w:pPr>
        <w:numPr>
          <w:ilvl w:val="0"/>
          <w:numId w:val="4"/>
        </w:numPr>
        <w:spacing w:after="0" w:line="276" w:lineRule="auto"/>
        <w:contextualSpacing/>
        <w:rPr>
          <w:rFonts w:ascii="Verdana" w:hAnsi="Verdana"/>
          <w:b/>
          <w:sz w:val="18"/>
          <w:szCs w:val="18"/>
        </w:rPr>
      </w:pPr>
      <w:r w:rsidRPr="004D3DC6">
        <w:rPr>
          <w:rFonts w:ascii="Verdana" w:hAnsi="Verdana"/>
          <w:b/>
          <w:sz w:val="18"/>
          <w:szCs w:val="18"/>
        </w:rPr>
        <w:t>Option 2: Extended Polish version</w:t>
      </w:r>
    </w:p>
    <w:p w:rsidR="00836A1E" w:rsidRPr="004D3DC6" w:rsidRDefault="002063E2" w:rsidP="0097447A">
      <w:pPr>
        <w:spacing w:after="0" w:line="276" w:lineRule="auto"/>
        <w:ind w:left="720"/>
        <w:contextualSpacing/>
        <w:jc w:val="both"/>
        <w:rPr>
          <w:rFonts w:ascii="Verdana" w:hAnsi="Verdana"/>
          <w:sz w:val="18"/>
          <w:szCs w:val="18"/>
        </w:rPr>
      </w:pPr>
      <w:r w:rsidRPr="004D3DC6">
        <w:rPr>
          <w:rFonts w:ascii="Verdana" w:hAnsi="Verdana"/>
          <w:sz w:val="18"/>
          <w:szCs w:val="18"/>
        </w:rPr>
        <w:t>Option 2 is an extension</w:t>
      </w:r>
      <w:r w:rsidR="00836A1E" w:rsidRPr="004D3DC6">
        <w:rPr>
          <w:rFonts w:ascii="Verdana" w:hAnsi="Verdana"/>
          <w:sz w:val="18"/>
          <w:szCs w:val="18"/>
        </w:rPr>
        <w:t>/modification</w:t>
      </w:r>
      <w:r w:rsidRPr="004D3DC6">
        <w:rPr>
          <w:rFonts w:ascii="Verdana" w:hAnsi="Verdana"/>
          <w:sz w:val="18"/>
          <w:szCs w:val="18"/>
        </w:rPr>
        <w:t xml:space="preserve"> of the current Polish policy concerning the Late Payment Directive. </w:t>
      </w:r>
      <w:r w:rsidR="00F53B84" w:rsidRPr="004D3DC6">
        <w:rPr>
          <w:rFonts w:ascii="Verdana" w:hAnsi="Verdana"/>
          <w:sz w:val="18"/>
          <w:szCs w:val="18"/>
        </w:rPr>
        <w:t>The impacts of this</w:t>
      </w:r>
      <w:r w:rsidRPr="004D3DC6">
        <w:rPr>
          <w:rFonts w:ascii="Verdana" w:hAnsi="Verdana"/>
          <w:sz w:val="18"/>
          <w:szCs w:val="18"/>
        </w:rPr>
        <w:t xml:space="preserve"> option </w:t>
      </w:r>
      <w:r w:rsidR="00F53B84" w:rsidRPr="004D3DC6">
        <w:rPr>
          <w:rFonts w:ascii="Verdana" w:hAnsi="Verdana"/>
          <w:sz w:val="18"/>
          <w:szCs w:val="18"/>
        </w:rPr>
        <w:t>are</w:t>
      </w:r>
      <w:r w:rsidRPr="004D3DC6">
        <w:rPr>
          <w:rFonts w:ascii="Verdana" w:hAnsi="Verdana"/>
          <w:sz w:val="18"/>
          <w:szCs w:val="18"/>
        </w:rPr>
        <w:t xml:space="preserve"> already calculated</w:t>
      </w:r>
      <w:r w:rsidR="00F53B84" w:rsidRPr="004D3DC6">
        <w:rPr>
          <w:rFonts w:ascii="Verdana" w:hAnsi="Verdana"/>
          <w:sz w:val="18"/>
          <w:szCs w:val="18"/>
        </w:rPr>
        <w:t>, which can be found in</w:t>
      </w:r>
      <w:r w:rsidRPr="004D3DC6">
        <w:rPr>
          <w:rFonts w:ascii="Verdana" w:hAnsi="Verdana"/>
          <w:sz w:val="18"/>
          <w:szCs w:val="18"/>
        </w:rPr>
        <w:t xml:space="preserve"> the multi-criteria analysis.</w:t>
      </w:r>
      <w:r w:rsidR="00836A1E" w:rsidRPr="004D3DC6">
        <w:rPr>
          <w:rFonts w:ascii="Verdana" w:hAnsi="Verdana"/>
          <w:sz w:val="18"/>
          <w:szCs w:val="18"/>
        </w:rPr>
        <w:t xml:space="preserve"> Some examples of measurements are:</w:t>
      </w:r>
    </w:p>
    <w:p w:rsidR="00836A1E" w:rsidRPr="004D3DC6" w:rsidRDefault="00836A1E" w:rsidP="0097447A">
      <w:pPr>
        <w:numPr>
          <w:ilvl w:val="1"/>
          <w:numId w:val="4"/>
        </w:numPr>
        <w:spacing w:after="0" w:line="276" w:lineRule="auto"/>
        <w:ind w:left="1434" w:hanging="357"/>
        <w:contextualSpacing/>
        <w:jc w:val="both"/>
        <w:rPr>
          <w:rFonts w:ascii="Verdana" w:hAnsi="Verdana"/>
          <w:sz w:val="18"/>
          <w:szCs w:val="18"/>
        </w:rPr>
      </w:pPr>
      <w:r w:rsidRPr="004D3DC6">
        <w:rPr>
          <w:rFonts w:ascii="Verdana" w:hAnsi="Verdana"/>
          <w:sz w:val="18"/>
          <w:szCs w:val="18"/>
        </w:rPr>
        <w:t xml:space="preserve">Apply stricter payment terms of option 1 only to SMEs with </w:t>
      </w:r>
      <w:r w:rsidR="00442FE4" w:rsidRPr="004D3DC6">
        <w:rPr>
          <w:rFonts w:ascii="Verdana" w:hAnsi="Verdana"/>
          <w:sz w:val="18"/>
          <w:szCs w:val="18"/>
        </w:rPr>
        <w:t xml:space="preserve">a certain turnovers (e.g. 500,000 euro). This would reduce the administrative burden with 75%, since it would be only applicable to 500,000 firms instead of 2 million. </w:t>
      </w:r>
    </w:p>
    <w:p w:rsidR="00442FE4" w:rsidRPr="004D3DC6" w:rsidRDefault="00442FE4" w:rsidP="0097447A">
      <w:pPr>
        <w:numPr>
          <w:ilvl w:val="1"/>
          <w:numId w:val="4"/>
        </w:numPr>
        <w:spacing w:after="0" w:line="276" w:lineRule="auto"/>
        <w:ind w:left="1434" w:hanging="357"/>
        <w:contextualSpacing/>
        <w:jc w:val="both"/>
        <w:rPr>
          <w:rFonts w:ascii="Verdana" w:hAnsi="Verdana"/>
          <w:sz w:val="18"/>
          <w:szCs w:val="18"/>
        </w:rPr>
      </w:pPr>
      <w:r w:rsidRPr="004D3DC6">
        <w:rPr>
          <w:rFonts w:ascii="Verdana" w:hAnsi="Verdana"/>
          <w:sz w:val="18"/>
          <w:szCs w:val="18"/>
        </w:rPr>
        <w:t>We could also reduce the quarterly reporting obligation to a half-yearly obligations, which would also reduce the administrative burden significantly.</w:t>
      </w:r>
    </w:p>
    <w:p w:rsidR="00442FE4" w:rsidRPr="004D3DC6" w:rsidRDefault="00442FE4" w:rsidP="0097447A">
      <w:pPr>
        <w:numPr>
          <w:ilvl w:val="1"/>
          <w:numId w:val="4"/>
        </w:numPr>
        <w:spacing w:after="0" w:line="276" w:lineRule="auto"/>
        <w:ind w:left="1434" w:hanging="357"/>
        <w:contextualSpacing/>
        <w:jc w:val="both"/>
        <w:rPr>
          <w:rFonts w:ascii="Verdana" w:hAnsi="Verdana"/>
          <w:sz w:val="18"/>
          <w:szCs w:val="18"/>
        </w:rPr>
      </w:pPr>
      <w:r w:rsidRPr="004D3DC6">
        <w:rPr>
          <w:rFonts w:ascii="Verdana" w:hAnsi="Verdana"/>
          <w:sz w:val="18"/>
          <w:szCs w:val="18"/>
        </w:rPr>
        <w:t>Free advice for companies on late payments organised by the Polish government.</w:t>
      </w:r>
    </w:p>
    <w:p w:rsidR="00442FE4" w:rsidRPr="004D3DC6" w:rsidRDefault="00442FE4" w:rsidP="0097447A">
      <w:pPr>
        <w:numPr>
          <w:ilvl w:val="1"/>
          <w:numId w:val="4"/>
        </w:numPr>
        <w:spacing w:after="0" w:line="276" w:lineRule="auto"/>
        <w:ind w:left="1434" w:hanging="357"/>
        <w:contextualSpacing/>
        <w:jc w:val="both"/>
        <w:rPr>
          <w:rFonts w:ascii="Verdana" w:hAnsi="Verdana"/>
          <w:sz w:val="18"/>
          <w:szCs w:val="18"/>
        </w:rPr>
      </w:pPr>
      <w:r w:rsidRPr="004D3DC6">
        <w:rPr>
          <w:rFonts w:ascii="Verdana" w:hAnsi="Verdana"/>
          <w:sz w:val="18"/>
          <w:szCs w:val="18"/>
        </w:rPr>
        <w:t>An obligation to use an e-invoicing system would increase the operational costs.</w:t>
      </w:r>
    </w:p>
    <w:p w:rsidR="00D24B3E" w:rsidRPr="004D3DC6" w:rsidRDefault="00D24B3E" w:rsidP="0097447A">
      <w:pPr>
        <w:spacing w:after="0" w:line="276" w:lineRule="auto"/>
        <w:ind w:left="720"/>
        <w:contextualSpacing/>
        <w:jc w:val="both"/>
        <w:rPr>
          <w:rFonts w:ascii="Verdana" w:hAnsi="Verdana"/>
          <w:sz w:val="18"/>
          <w:szCs w:val="18"/>
        </w:rPr>
      </w:pPr>
    </w:p>
    <w:p w:rsidR="004D3DC6" w:rsidRDefault="004D3DC6" w:rsidP="0097447A">
      <w:pPr>
        <w:spacing w:after="0" w:line="276" w:lineRule="auto"/>
        <w:contextualSpacing/>
        <w:jc w:val="center"/>
        <w:rPr>
          <w:rFonts w:ascii="Verdana" w:hAnsi="Verdana"/>
          <w:sz w:val="18"/>
          <w:szCs w:val="18"/>
        </w:rPr>
      </w:pPr>
      <w:r>
        <w:rPr>
          <w:rFonts w:ascii="Verdana" w:hAnsi="Verdana"/>
          <w:i/>
          <w:iCs/>
        </w:rPr>
        <w:br w:type="page"/>
      </w:r>
    </w:p>
    <w:p w:rsidR="002063E2" w:rsidRDefault="002063E2" w:rsidP="0097447A">
      <w:pPr>
        <w:pStyle w:val="Bijschrift"/>
        <w:keepNext/>
        <w:spacing w:after="0" w:line="276" w:lineRule="auto"/>
        <w:contextualSpacing/>
        <w:rPr>
          <w:rFonts w:ascii="Verdana" w:hAnsi="Verdana"/>
          <w:i w:val="0"/>
          <w:iCs w:val="0"/>
          <w:color w:val="auto"/>
        </w:rPr>
      </w:pPr>
      <w:r w:rsidRPr="004D3DC6">
        <w:rPr>
          <w:rFonts w:ascii="Verdana" w:hAnsi="Verdana"/>
          <w:i w:val="0"/>
          <w:iCs w:val="0"/>
          <w:color w:val="auto"/>
        </w:rPr>
        <w:lastRenderedPageBreak/>
        <w:t>4 steps in MCA</w:t>
      </w:r>
    </w:p>
    <w:p w:rsidR="00C77DAF" w:rsidRPr="00C77DAF" w:rsidRDefault="00C77DAF" w:rsidP="00C77DAF"/>
    <w:p w:rsidR="002063E2" w:rsidRPr="004D3DC6" w:rsidRDefault="002063E2" w:rsidP="0097447A">
      <w:pPr>
        <w:pStyle w:val="Bijschrift"/>
        <w:keepNext/>
        <w:numPr>
          <w:ilvl w:val="0"/>
          <w:numId w:val="4"/>
        </w:numPr>
        <w:spacing w:after="0" w:line="276" w:lineRule="auto"/>
        <w:contextualSpacing/>
        <w:rPr>
          <w:rFonts w:ascii="Verdana" w:hAnsi="Verdana"/>
          <w:i w:val="0"/>
          <w:iCs w:val="0"/>
          <w:color w:val="auto"/>
        </w:rPr>
      </w:pPr>
      <w:r w:rsidRPr="004D3DC6">
        <w:rPr>
          <w:rFonts w:ascii="Verdana" w:hAnsi="Verdana"/>
          <w:i w:val="0"/>
          <w:iCs w:val="0"/>
          <w:color w:val="auto"/>
        </w:rPr>
        <w:t xml:space="preserve">Step 1: determine costs and benefits </w:t>
      </w:r>
    </w:p>
    <w:p w:rsidR="002063E2" w:rsidRPr="004D3DC6" w:rsidRDefault="002063E2" w:rsidP="0097447A">
      <w:pPr>
        <w:pStyle w:val="Bijschrift"/>
        <w:keepNext/>
        <w:numPr>
          <w:ilvl w:val="0"/>
          <w:numId w:val="4"/>
        </w:numPr>
        <w:spacing w:after="0" w:line="276" w:lineRule="auto"/>
        <w:contextualSpacing/>
        <w:rPr>
          <w:rFonts w:ascii="Verdana" w:hAnsi="Verdana"/>
          <w:i w:val="0"/>
          <w:iCs w:val="0"/>
          <w:color w:val="auto"/>
        </w:rPr>
      </w:pPr>
      <w:r w:rsidRPr="004D3DC6">
        <w:rPr>
          <w:rFonts w:ascii="Verdana" w:hAnsi="Verdana"/>
          <w:i w:val="0"/>
          <w:iCs w:val="0"/>
          <w:color w:val="auto"/>
        </w:rPr>
        <w:t>Step 2: standardization row maximum</w:t>
      </w:r>
    </w:p>
    <w:p w:rsidR="002063E2" w:rsidRPr="004D3DC6" w:rsidRDefault="002063E2" w:rsidP="0097447A">
      <w:pPr>
        <w:pStyle w:val="Bijschrift"/>
        <w:keepNext/>
        <w:numPr>
          <w:ilvl w:val="0"/>
          <w:numId w:val="4"/>
        </w:numPr>
        <w:spacing w:after="0" w:line="276" w:lineRule="auto"/>
        <w:contextualSpacing/>
        <w:rPr>
          <w:rFonts w:ascii="Verdana" w:hAnsi="Verdana"/>
          <w:i w:val="0"/>
          <w:iCs w:val="0"/>
          <w:color w:val="auto"/>
        </w:rPr>
      </w:pPr>
      <w:r w:rsidRPr="004D3DC6">
        <w:rPr>
          <w:rFonts w:ascii="Verdana" w:hAnsi="Verdana"/>
          <w:i w:val="0"/>
          <w:iCs w:val="0"/>
          <w:color w:val="auto"/>
        </w:rPr>
        <w:t>Step 3: multiply and sum up</w:t>
      </w:r>
    </w:p>
    <w:p w:rsidR="002063E2" w:rsidRPr="004D3DC6" w:rsidRDefault="002063E2" w:rsidP="0097447A">
      <w:pPr>
        <w:pStyle w:val="Bijschrift"/>
        <w:keepNext/>
        <w:numPr>
          <w:ilvl w:val="0"/>
          <w:numId w:val="4"/>
        </w:numPr>
        <w:spacing w:after="0" w:line="276" w:lineRule="auto"/>
        <w:contextualSpacing/>
        <w:rPr>
          <w:rFonts w:ascii="Verdana" w:hAnsi="Verdana"/>
          <w:i w:val="0"/>
          <w:iCs w:val="0"/>
          <w:color w:val="auto"/>
        </w:rPr>
      </w:pPr>
      <w:r w:rsidRPr="004D3DC6">
        <w:rPr>
          <w:rFonts w:ascii="Verdana" w:hAnsi="Verdana"/>
          <w:i w:val="0"/>
          <w:iCs w:val="0"/>
          <w:color w:val="auto"/>
        </w:rPr>
        <w:t>Step 4: determine preference rule</w:t>
      </w:r>
    </w:p>
    <w:p w:rsidR="002063E2" w:rsidRPr="004D3DC6" w:rsidRDefault="002063E2" w:rsidP="0097447A">
      <w:pPr>
        <w:pStyle w:val="Bijschrift"/>
        <w:keepNext/>
        <w:spacing w:after="0" w:line="276" w:lineRule="auto"/>
        <w:contextualSpacing/>
        <w:jc w:val="center"/>
        <w:rPr>
          <w:rFonts w:ascii="Verdana" w:hAnsi="Verdana"/>
          <w:b/>
          <w:i w:val="0"/>
          <w:color w:val="auto"/>
          <w:lang w:val="nl-BE"/>
        </w:rPr>
      </w:pPr>
    </w:p>
    <w:p w:rsidR="002063E2" w:rsidRPr="004D3DC6" w:rsidRDefault="002063E2" w:rsidP="0097447A">
      <w:pPr>
        <w:pStyle w:val="Bijschrift"/>
        <w:keepNext/>
        <w:spacing w:after="0" w:line="276" w:lineRule="auto"/>
        <w:contextualSpacing/>
        <w:jc w:val="center"/>
        <w:rPr>
          <w:rFonts w:ascii="Verdana" w:hAnsi="Verdana"/>
          <w:b/>
          <w:i w:val="0"/>
          <w:color w:val="auto"/>
          <w:lang w:val="nl-BE"/>
        </w:rPr>
      </w:pPr>
    </w:p>
    <w:p w:rsidR="004F1146" w:rsidRPr="004D3DC6" w:rsidRDefault="002063E2" w:rsidP="0097447A">
      <w:pPr>
        <w:pStyle w:val="Bijschrift"/>
        <w:keepNext/>
        <w:spacing w:after="0" w:line="276" w:lineRule="auto"/>
        <w:contextualSpacing/>
        <w:rPr>
          <w:rFonts w:ascii="Verdana" w:hAnsi="Verdana"/>
          <w:b/>
          <w:i w:val="0"/>
          <w:iCs w:val="0"/>
          <w:color w:val="auto"/>
        </w:rPr>
      </w:pPr>
      <w:r w:rsidRPr="004D3DC6">
        <w:rPr>
          <w:rFonts w:ascii="Verdana" w:hAnsi="Verdana"/>
          <w:b/>
          <w:i w:val="0"/>
          <w:iCs w:val="0"/>
          <w:color w:val="auto"/>
        </w:rPr>
        <w:t xml:space="preserve">Step 1: determine costs and benefits </w:t>
      </w:r>
    </w:p>
    <w:p w:rsidR="004F1146" w:rsidRPr="004D3DC6" w:rsidRDefault="004F1146" w:rsidP="0097447A">
      <w:pPr>
        <w:spacing w:after="0" w:line="276" w:lineRule="auto"/>
        <w:contextualSpacing/>
        <w:rPr>
          <w:rFonts w:ascii="Verdana" w:hAnsi="Verdana"/>
          <w:sz w:val="18"/>
          <w:szCs w:val="18"/>
        </w:rPr>
      </w:pPr>
    </w:p>
    <w:tbl>
      <w:tblPr>
        <w:tblW w:w="6894" w:type="dxa"/>
        <w:jc w:val="center"/>
        <w:tblLook w:val="04A0" w:firstRow="1" w:lastRow="0" w:firstColumn="1" w:lastColumn="0" w:noHBand="0" w:noVBand="1"/>
      </w:tblPr>
      <w:tblGrid>
        <w:gridCol w:w="2967"/>
        <w:gridCol w:w="1173"/>
        <w:gridCol w:w="1377"/>
        <w:gridCol w:w="1377"/>
      </w:tblGrid>
      <w:tr w:rsidR="004F1146" w:rsidRPr="004D3DC6" w:rsidTr="00D84DC9">
        <w:trPr>
          <w:trHeight w:val="315"/>
          <w:jc w:val="center"/>
        </w:trPr>
        <w:tc>
          <w:tcPr>
            <w:tcW w:w="2967" w:type="dxa"/>
            <w:tcBorders>
              <w:top w:val="single" w:sz="8" w:space="0" w:color="auto"/>
              <w:left w:val="single" w:sz="8" w:space="0" w:color="auto"/>
              <w:bottom w:val="single" w:sz="8" w:space="0" w:color="auto"/>
              <w:right w:val="nil"/>
            </w:tcBorders>
            <w:shd w:val="clear" w:color="auto" w:fill="auto"/>
            <w:vAlign w:val="center"/>
            <w:hideMark/>
          </w:tcPr>
          <w:p w:rsidR="004F1146" w:rsidRPr="004D3DC6" w:rsidRDefault="004F1146" w:rsidP="0097447A">
            <w:pPr>
              <w:spacing w:after="0" w:line="276" w:lineRule="auto"/>
              <w:contextualSpacing/>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 </w:t>
            </w:r>
          </w:p>
        </w:tc>
        <w:tc>
          <w:tcPr>
            <w:tcW w:w="1173"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Option 0</w:t>
            </w:r>
          </w:p>
        </w:tc>
        <w:tc>
          <w:tcPr>
            <w:tcW w:w="1377" w:type="dxa"/>
            <w:tcBorders>
              <w:top w:val="single" w:sz="8" w:space="0" w:color="auto"/>
              <w:left w:val="nil"/>
              <w:bottom w:val="single" w:sz="8"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Option 1</w:t>
            </w:r>
          </w:p>
        </w:tc>
        <w:tc>
          <w:tcPr>
            <w:tcW w:w="1377" w:type="dxa"/>
            <w:tcBorders>
              <w:top w:val="single" w:sz="8" w:space="0" w:color="auto"/>
              <w:left w:val="nil"/>
              <w:bottom w:val="single" w:sz="8"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Option 2</w:t>
            </w:r>
          </w:p>
        </w:tc>
      </w:tr>
      <w:tr w:rsidR="004F1146" w:rsidRPr="004D3DC6" w:rsidTr="00D84DC9">
        <w:trPr>
          <w:trHeight w:val="315"/>
          <w:jc w:val="center"/>
        </w:trPr>
        <w:tc>
          <w:tcPr>
            <w:tcW w:w="6894" w:type="dxa"/>
            <w:gridSpan w:val="4"/>
            <w:tcBorders>
              <w:top w:val="nil"/>
              <w:left w:val="single" w:sz="8" w:space="0" w:color="auto"/>
              <w:bottom w:val="single" w:sz="8" w:space="0" w:color="auto"/>
              <w:right w:val="single" w:sz="8" w:space="0" w:color="000000"/>
            </w:tcBorders>
            <w:shd w:val="clear" w:color="000000" w:fill="D9D9D9"/>
            <w:vAlign w:val="center"/>
            <w:hideMark/>
          </w:tcPr>
          <w:p w:rsidR="004F1146" w:rsidRPr="004D3DC6" w:rsidRDefault="004F1146"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Benefits</w:t>
            </w:r>
          </w:p>
        </w:tc>
      </w:tr>
      <w:tr w:rsidR="004F1146" w:rsidRPr="004D3DC6" w:rsidTr="00D84DC9">
        <w:trPr>
          <w:trHeight w:val="300"/>
          <w:jc w:val="center"/>
        </w:trPr>
        <w:tc>
          <w:tcPr>
            <w:tcW w:w="6894" w:type="dxa"/>
            <w:gridSpan w:val="4"/>
            <w:tcBorders>
              <w:top w:val="nil"/>
              <w:left w:val="single" w:sz="8" w:space="0" w:color="auto"/>
              <w:bottom w:val="single" w:sz="4" w:space="0" w:color="auto"/>
              <w:right w:val="single" w:sz="8" w:space="0" w:color="000000"/>
            </w:tcBorders>
            <w:shd w:val="clear" w:color="auto" w:fill="auto"/>
            <w:vAlign w:val="center"/>
            <w:hideMark/>
          </w:tcPr>
          <w:p w:rsidR="004F1146" w:rsidRPr="004D3DC6" w:rsidRDefault="004F1146" w:rsidP="0097447A">
            <w:pPr>
              <w:spacing w:after="0" w:line="276" w:lineRule="auto"/>
              <w:contextualSpacing/>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Market</w:t>
            </w:r>
          </w:p>
        </w:tc>
      </w:tr>
      <w:tr w:rsidR="004F1146" w:rsidRPr="004D3DC6" w:rsidTr="00D84DC9">
        <w:trPr>
          <w:trHeight w:val="300"/>
          <w:jc w:val="center"/>
        </w:trPr>
        <w:tc>
          <w:tcPr>
            <w:tcW w:w="2967"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Trust (scale 1-10)</w:t>
            </w:r>
          </w:p>
        </w:tc>
        <w:tc>
          <w:tcPr>
            <w:tcW w:w="1173"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w:t>
            </w:r>
          </w:p>
        </w:tc>
        <w:tc>
          <w:tcPr>
            <w:tcW w:w="1377"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3</w:t>
            </w:r>
          </w:p>
        </w:tc>
        <w:tc>
          <w:tcPr>
            <w:tcW w:w="1377"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5</w:t>
            </w:r>
          </w:p>
        </w:tc>
      </w:tr>
      <w:tr w:rsidR="004F1146" w:rsidRPr="004D3DC6" w:rsidTr="00D84DC9">
        <w:trPr>
          <w:trHeight w:val="300"/>
          <w:jc w:val="center"/>
        </w:trPr>
        <w:tc>
          <w:tcPr>
            <w:tcW w:w="6894"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4F1146" w:rsidRPr="004D3DC6" w:rsidRDefault="004F1146" w:rsidP="0097447A">
            <w:pPr>
              <w:spacing w:after="0" w:line="276" w:lineRule="auto"/>
              <w:contextualSpacing/>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Society</w:t>
            </w:r>
          </w:p>
        </w:tc>
      </w:tr>
      <w:tr w:rsidR="004F1146" w:rsidRPr="004D3DC6" w:rsidTr="00D84DC9">
        <w:trPr>
          <w:trHeight w:val="300"/>
          <w:jc w:val="center"/>
        </w:trPr>
        <w:tc>
          <w:tcPr>
            <w:tcW w:w="2967"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Employment (</w:t>
            </w:r>
            <w:r w:rsidR="006C4B63" w:rsidRPr="004D3DC6">
              <w:rPr>
                <w:rFonts w:ascii="Verdana" w:eastAsia="Times New Roman" w:hAnsi="Verdana" w:cs="Times New Roman"/>
                <w:color w:val="000000"/>
                <w:sz w:val="18"/>
                <w:szCs w:val="18"/>
              </w:rPr>
              <w:t>jobs</w:t>
            </w:r>
            <w:r w:rsidRPr="004D3DC6">
              <w:rPr>
                <w:rFonts w:ascii="Verdana" w:eastAsia="Times New Roman" w:hAnsi="Verdana" w:cs="Times New Roman"/>
                <w:color w:val="000000"/>
                <w:sz w:val="18"/>
                <w:szCs w:val="18"/>
              </w:rPr>
              <w:t>)</w:t>
            </w:r>
          </w:p>
        </w:tc>
        <w:tc>
          <w:tcPr>
            <w:tcW w:w="1173"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w:t>
            </w:r>
          </w:p>
        </w:tc>
        <w:tc>
          <w:tcPr>
            <w:tcW w:w="1377"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20,000</w:t>
            </w:r>
          </w:p>
        </w:tc>
        <w:tc>
          <w:tcPr>
            <w:tcW w:w="1377"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15,000</w:t>
            </w:r>
          </w:p>
        </w:tc>
      </w:tr>
      <w:tr w:rsidR="004F1146" w:rsidRPr="004D3DC6" w:rsidTr="00D84DC9">
        <w:trPr>
          <w:trHeight w:val="300"/>
          <w:jc w:val="center"/>
        </w:trPr>
        <w:tc>
          <w:tcPr>
            <w:tcW w:w="6894"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4F1146" w:rsidRPr="004D3DC6" w:rsidRDefault="006C4B63" w:rsidP="0097447A">
            <w:pPr>
              <w:spacing w:after="0" w:line="276" w:lineRule="auto"/>
              <w:contextualSpacing/>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Business</w:t>
            </w:r>
          </w:p>
        </w:tc>
      </w:tr>
      <w:tr w:rsidR="004F1146" w:rsidRPr="004D3DC6" w:rsidTr="00D84DC9">
        <w:trPr>
          <w:trHeight w:val="300"/>
          <w:jc w:val="center"/>
        </w:trPr>
        <w:tc>
          <w:tcPr>
            <w:tcW w:w="2967"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Delay (days)</w:t>
            </w:r>
          </w:p>
        </w:tc>
        <w:tc>
          <w:tcPr>
            <w:tcW w:w="1173"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w:t>
            </w:r>
          </w:p>
        </w:tc>
        <w:tc>
          <w:tcPr>
            <w:tcW w:w="1377"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15</w:t>
            </w:r>
          </w:p>
        </w:tc>
        <w:tc>
          <w:tcPr>
            <w:tcW w:w="1377"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20</w:t>
            </w:r>
          </w:p>
        </w:tc>
      </w:tr>
      <w:tr w:rsidR="004F1146" w:rsidRPr="004D3DC6" w:rsidTr="00D84DC9">
        <w:trPr>
          <w:trHeight w:val="300"/>
          <w:jc w:val="center"/>
        </w:trPr>
        <w:tc>
          <w:tcPr>
            <w:tcW w:w="2967"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Operation and financial (€)</w:t>
            </w:r>
          </w:p>
        </w:tc>
        <w:tc>
          <w:tcPr>
            <w:tcW w:w="1173"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w:t>
            </w:r>
          </w:p>
        </w:tc>
        <w:tc>
          <w:tcPr>
            <w:tcW w:w="1377"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59,000,000</w:t>
            </w:r>
          </w:p>
        </w:tc>
        <w:tc>
          <w:tcPr>
            <w:tcW w:w="1377"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75,000,000</w:t>
            </w:r>
          </w:p>
        </w:tc>
      </w:tr>
      <w:tr w:rsidR="004F1146" w:rsidRPr="004D3DC6" w:rsidTr="00D84DC9">
        <w:trPr>
          <w:trHeight w:val="315"/>
          <w:jc w:val="center"/>
        </w:trPr>
        <w:tc>
          <w:tcPr>
            <w:tcW w:w="2967"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Enforcement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1173"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w:t>
            </w:r>
          </w:p>
        </w:tc>
        <w:tc>
          <w:tcPr>
            <w:tcW w:w="1377"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72,000,000</w:t>
            </w:r>
          </w:p>
        </w:tc>
        <w:tc>
          <w:tcPr>
            <w:tcW w:w="1377"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50,000,000</w:t>
            </w:r>
          </w:p>
        </w:tc>
      </w:tr>
      <w:tr w:rsidR="004F1146" w:rsidRPr="004D3DC6" w:rsidTr="00D84DC9">
        <w:trPr>
          <w:trHeight w:val="315"/>
          <w:jc w:val="center"/>
        </w:trPr>
        <w:tc>
          <w:tcPr>
            <w:tcW w:w="6894" w:type="dxa"/>
            <w:gridSpan w:val="4"/>
            <w:tcBorders>
              <w:top w:val="single" w:sz="8" w:space="0" w:color="auto"/>
              <w:left w:val="single" w:sz="8" w:space="0" w:color="auto"/>
              <w:bottom w:val="single" w:sz="8" w:space="0" w:color="auto"/>
              <w:right w:val="single" w:sz="8" w:space="0" w:color="000000"/>
            </w:tcBorders>
            <w:shd w:val="clear" w:color="000000" w:fill="D9D9D9"/>
            <w:vAlign w:val="center"/>
            <w:hideMark/>
          </w:tcPr>
          <w:p w:rsidR="004F1146" w:rsidRPr="004D3DC6" w:rsidRDefault="004F1146"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Costs</w:t>
            </w:r>
          </w:p>
        </w:tc>
      </w:tr>
      <w:tr w:rsidR="004F1146" w:rsidRPr="004D3DC6" w:rsidTr="00D84DC9">
        <w:trPr>
          <w:trHeight w:val="300"/>
          <w:jc w:val="center"/>
        </w:trPr>
        <w:tc>
          <w:tcPr>
            <w:tcW w:w="6894" w:type="dxa"/>
            <w:gridSpan w:val="4"/>
            <w:tcBorders>
              <w:top w:val="nil"/>
              <w:left w:val="single" w:sz="8" w:space="0" w:color="auto"/>
              <w:bottom w:val="single" w:sz="4" w:space="0" w:color="auto"/>
              <w:right w:val="single" w:sz="8" w:space="0" w:color="000000"/>
            </w:tcBorders>
            <w:shd w:val="clear" w:color="auto" w:fill="auto"/>
            <w:vAlign w:val="center"/>
            <w:hideMark/>
          </w:tcPr>
          <w:p w:rsidR="004F1146" w:rsidRPr="004D3DC6" w:rsidRDefault="004F1146" w:rsidP="0097447A">
            <w:pPr>
              <w:spacing w:after="0" w:line="276" w:lineRule="auto"/>
              <w:contextualSpacing/>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Business</w:t>
            </w:r>
          </w:p>
        </w:tc>
      </w:tr>
      <w:tr w:rsidR="004F1146" w:rsidRPr="004D3DC6" w:rsidTr="00D84DC9">
        <w:trPr>
          <w:trHeight w:val="300"/>
          <w:jc w:val="center"/>
        </w:trPr>
        <w:tc>
          <w:tcPr>
            <w:tcW w:w="2967"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Administrative burden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1173"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w:t>
            </w:r>
          </w:p>
        </w:tc>
        <w:tc>
          <w:tcPr>
            <w:tcW w:w="1377"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271,720,000</w:t>
            </w:r>
          </w:p>
        </w:tc>
        <w:tc>
          <w:tcPr>
            <w:tcW w:w="1377"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150,000,000</w:t>
            </w:r>
          </w:p>
        </w:tc>
      </w:tr>
      <w:tr w:rsidR="004F1146" w:rsidRPr="004D3DC6" w:rsidTr="00D84DC9">
        <w:trPr>
          <w:trHeight w:val="300"/>
          <w:jc w:val="center"/>
        </w:trPr>
        <w:tc>
          <w:tcPr>
            <w:tcW w:w="2967"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Operation and financial (€)</w:t>
            </w:r>
          </w:p>
        </w:tc>
        <w:tc>
          <w:tcPr>
            <w:tcW w:w="1173"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w:t>
            </w:r>
          </w:p>
        </w:tc>
        <w:tc>
          <w:tcPr>
            <w:tcW w:w="1377"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w:t>
            </w:r>
          </w:p>
        </w:tc>
        <w:tc>
          <w:tcPr>
            <w:tcW w:w="1377"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100,000,000</w:t>
            </w:r>
          </w:p>
        </w:tc>
      </w:tr>
      <w:tr w:rsidR="004F1146" w:rsidRPr="004D3DC6" w:rsidTr="00D84DC9">
        <w:trPr>
          <w:trHeight w:val="300"/>
          <w:jc w:val="center"/>
        </w:trPr>
        <w:tc>
          <w:tcPr>
            <w:tcW w:w="2967"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Enforcement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1173"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w:t>
            </w:r>
          </w:p>
        </w:tc>
        <w:tc>
          <w:tcPr>
            <w:tcW w:w="1377"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84,700,000</w:t>
            </w:r>
          </w:p>
        </w:tc>
        <w:tc>
          <w:tcPr>
            <w:tcW w:w="1377"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75,000,000</w:t>
            </w:r>
          </w:p>
        </w:tc>
      </w:tr>
      <w:tr w:rsidR="004F1146" w:rsidRPr="004D3DC6" w:rsidTr="00D84DC9">
        <w:trPr>
          <w:trHeight w:val="300"/>
          <w:jc w:val="center"/>
        </w:trPr>
        <w:tc>
          <w:tcPr>
            <w:tcW w:w="6894" w:type="dxa"/>
            <w:gridSpan w:val="4"/>
            <w:tcBorders>
              <w:top w:val="single" w:sz="4" w:space="0" w:color="auto"/>
              <w:left w:val="single" w:sz="8" w:space="0" w:color="auto"/>
              <w:bottom w:val="single" w:sz="4" w:space="0" w:color="auto"/>
              <w:right w:val="single" w:sz="8" w:space="0" w:color="000000"/>
            </w:tcBorders>
            <w:shd w:val="clear" w:color="auto" w:fill="auto"/>
            <w:vAlign w:val="center"/>
            <w:hideMark/>
          </w:tcPr>
          <w:p w:rsidR="004F1146" w:rsidRPr="004D3DC6" w:rsidRDefault="004F1146" w:rsidP="0097447A">
            <w:pPr>
              <w:spacing w:after="0" w:line="276" w:lineRule="auto"/>
              <w:contextualSpacing/>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Institutions</w:t>
            </w:r>
          </w:p>
        </w:tc>
      </w:tr>
      <w:tr w:rsidR="004F1146" w:rsidRPr="004D3DC6" w:rsidTr="00D84DC9">
        <w:trPr>
          <w:trHeight w:val="300"/>
          <w:jc w:val="center"/>
        </w:trPr>
        <w:tc>
          <w:tcPr>
            <w:tcW w:w="2967"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Administrative burden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1173"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w:t>
            </w:r>
          </w:p>
        </w:tc>
        <w:tc>
          <w:tcPr>
            <w:tcW w:w="1377"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884,000</w:t>
            </w:r>
          </w:p>
        </w:tc>
        <w:tc>
          <w:tcPr>
            <w:tcW w:w="1377"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w:t>
            </w:r>
          </w:p>
        </w:tc>
      </w:tr>
      <w:tr w:rsidR="004F1146" w:rsidRPr="004D3DC6" w:rsidTr="00D84DC9">
        <w:trPr>
          <w:trHeight w:val="300"/>
          <w:jc w:val="center"/>
        </w:trPr>
        <w:tc>
          <w:tcPr>
            <w:tcW w:w="2967"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Operation and financial (€)</w:t>
            </w:r>
          </w:p>
        </w:tc>
        <w:tc>
          <w:tcPr>
            <w:tcW w:w="1173"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w:t>
            </w:r>
          </w:p>
        </w:tc>
        <w:tc>
          <w:tcPr>
            <w:tcW w:w="1377"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9,350,000</w:t>
            </w:r>
          </w:p>
        </w:tc>
        <w:tc>
          <w:tcPr>
            <w:tcW w:w="1377"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5,000,000</w:t>
            </w:r>
          </w:p>
        </w:tc>
      </w:tr>
      <w:tr w:rsidR="004F1146" w:rsidRPr="004D3DC6" w:rsidTr="00D84DC9">
        <w:trPr>
          <w:trHeight w:val="315"/>
          <w:jc w:val="center"/>
        </w:trPr>
        <w:tc>
          <w:tcPr>
            <w:tcW w:w="2967" w:type="dxa"/>
            <w:tcBorders>
              <w:top w:val="nil"/>
              <w:left w:val="single" w:sz="8" w:space="0" w:color="auto"/>
              <w:bottom w:val="single" w:sz="8"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Enforcement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1173" w:type="dxa"/>
            <w:tcBorders>
              <w:top w:val="nil"/>
              <w:left w:val="nil"/>
              <w:bottom w:val="single" w:sz="8"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w:t>
            </w:r>
          </w:p>
        </w:tc>
        <w:tc>
          <w:tcPr>
            <w:tcW w:w="1377" w:type="dxa"/>
            <w:tcBorders>
              <w:top w:val="nil"/>
              <w:left w:val="nil"/>
              <w:bottom w:val="single" w:sz="8"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1,304,000</w:t>
            </w:r>
          </w:p>
        </w:tc>
        <w:tc>
          <w:tcPr>
            <w:tcW w:w="1377" w:type="dxa"/>
            <w:tcBorders>
              <w:top w:val="nil"/>
              <w:left w:val="nil"/>
              <w:bottom w:val="single" w:sz="8"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10,000,000</w:t>
            </w:r>
          </w:p>
        </w:tc>
      </w:tr>
    </w:tbl>
    <w:p w:rsidR="002063E2" w:rsidRPr="004D3DC6" w:rsidRDefault="002063E2" w:rsidP="0097447A">
      <w:pPr>
        <w:pStyle w:val="Bijschrift"/>
        <w:keepNext/>
        <w:spacing w:after="0" w:line="276" w:lineRule="auto"/>
        <w:contextualSpacing/>
        <w:rPr>
          <w:rFonts w:ascii="Verdana" w:hAnsi="Verdana"/>
          <w:b/>
        </w:rPr>
      </w:pPr>
    </w:p>
    <w:p w:rsidR="00FA49CE" w:rsidRPr="004D3DC6" w:rsidRDefault="00FA49CE" w:rsidP="0097447A">
      <w:pPr>
        <w:spacing w:after="0" w:line="276" w:lineRule="auto"/>
        <w:contextualSpacing/>
        <w:rPr>
          <w:rFonts w:ascii="Verdana" w:hAnsi="Verdana"/>
          <w:b/>
          <w:sz w:val="18"/>
          <w:szCs w:val="18"/>
        </w:rPr>
      </w:pPr>
      <w:r w:rsidRPr="004D3DC6">
        <w:rPr>
          <w:rFonts w:ascii="Verdana" w:hAnsi="Verdana"/>
          <w:b/>
          <w:i/>
          <w:iCs/>
          <w:sz w:val="18"/>
          <w:szCs w:val="18"/>
        </w:rPr>
        <w:br w:type="page"/>
      </w:r>
    </w:p>
    <w:p w:rsidR="002063E2" w:rsidRPr="004D3DC6" w:rsidRDefault="002063E2" w:rsidP="0097447A">
      <w:pPr>
        <w:pStyle w:val="Bijschrift"/>
        <w:keepNext/>
        <w:spacing w:after="0" w:line="276" w:lineRule="auto"/>
        <w:contextualSpacing/>
        <w:rPr>
          <w:rFonts w:ascii="Verdana" w:hAnsi="Verdana"/>
          <w:b/>
          <w:i w:val="0"/>
          <w:iCs w:val="0"/>
          <w:color w:val="auto"/>
        </w:rPr>
      </w:pPr>
      <w:r w:rsidRPr="004D3DC6">
        <w:rPr>
          <w:rFonts w:ascii="Verdana" w:hAnsi="Verdana"/>
          <w:b/>
          <w:i w:val="0"/>
          <w:iCs w:val="0"/>
          <w:color w:val="auto"/>
        </w:rPr>
        <w:lastRenderedPageBreak/>
        <w:t>Step 2: standardization row maximum</w:t>
      </w:r>
    </w:p>
    <w:p w:rsidR="004F1146" w:rsidRPr="004D3DC6" w:rsidRDefault="004F1146" w:rsidP="0097447A">
      <w:pPr>
        <w:spacing w:after="0" w:line="276" w:lineRule="auto"/>
        <w:contextualSpacing/>
        <w:rPr>
          <w:rFonts w:ascii="Verdana" w:hAnsi="Verdana"/>
          <w:sz w:val="18"/>
          <w:szCs w:val="18"/>
        </w:rPr>
      </w:pPr>
    </w:p>
    <w:tbl>
      <w:tblPr>
        <w:tblW w:w="6565" w:type="dxa"/>
        <w:jc w:val="center"/>
        <w:tblLook w:val="04A0" w:firstRow="1" w:lastRow="0" w:firstColumn="1" w:lastColumn="0" w:noHBand="0" w:noVBand="1"/>
      </w:tblPr>
      <w:tblGrid>
        <w:gridCol w:w="3119"/>
        <w:gridCol w:w="1146"/>
        <w:gridCol w:w="1120"/>
        <w:gridCol w:w="1180"/>
      </w:tblGrid>
      <w:tr w:rsidR="004F1146" w:rsidRPr="004D3DC6" w:rsidTr="00D84DC9">
        <w:trPr>
          <w:trHeight w:val="315"/>
          <w:jc w:val="center"/>
        </w:trPr>
        <w:tc>
          <w:tcPr>
            <w:tcW w:w="3119" w:type="dxa"/>
            <w:tcBorders>
              <w:top w:val="single" w:sz="8" w:space="0" w:color="auto"/>
              <w:left w:val="single" w:sz="8" w:space="0" w:color="auto"/>
              <w:bottom w:val="single" w:sz="8" w:space="0" w:color="auto"/>
              <w:right w:val="nil"/>
            </w:tcBorders>
            <w:shd w:val="clear" w:color="auto" w:fill="auto"/>
            <w:vAlign w:val="center"/>
            <w:hideMark/>
          </w:tcPr>
          <w:p w:rsidR="004F1146" w:rsidRPr="004D3DC6" w:rsidRDefault="004F1146" w:rsidP="0097447A">
            <w:pPr>
              <w:spacing w:after="0" w:line="276" w:lineRule="auto"/>
              <w:contextualSpacing/>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 </w:t>
            </w:r>
          </w:p>
        </w:tc>
        <w:tc>
          <w:tcPr>
            <w:tcW w:w="1146"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Option 0</w:t>
            </w:r>
          </w:p>
        </w:tc>
        <w:tc>
          <w:tcPr>
            <w:tcW w:w="1120" w:type="dxa"/>
            <w:tcBorders>
              <w:top w:val="single" w:sz="8" w:space="0" w:color="auto"/>
              <w:left w:val="nil"/>
              <w:bottom w:val="single" w:sz="8"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Option 1</w:t>
            </w:r>
          </w:p>
        </w:tc>
        <w:tc>
          <w:tcPr>
            <w:tcW w:w="1180" w:type="dxa"/>
            <w:tcBorders>
              <w:top w:val="single" w:sz="8" w:space="0" w:color="auto"/>
              <w:left w:val="nil"/>
              <w:bottom w:val="single" w:sz="8"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Option 2</w:t>
            </w:r>
          </w:p>
        </w:tc>
      </w:tr>
      <w:tr w:rsidR="004F1146" w:rsidRPr="004D3DC6" w:rsidTr="00D84DC9">
        <w:trPr>
          <w:trHeight w:val="315"/>
          <w:jc w:val="center"/>
        </w:trPr>
        <w:tc>
          <w:tcPr>
            <w:tcW w:w="6565" w:type="dxa"/>
            <w:gridSpan w:val="4"/>
            <w:tcBorders>
              <w:top w:val="nil"/>
              <w:left w:val="single" w:sz="8" w:space="0" w:color="auto"/>
              <w:bottom w:val="single" w:sz="8" w:space="0" w:color="auto"/>
              <w:right w:val="single" w:sz="8" w:space="0" w:color="000000"/>
            </w:tcBorders>
            <w:shd w:val="clear" w:color="000000" w:fill="D9D9D9"/>
            <w:vAlign w:val="center"/>
            <w:hideMark/>
          </w:tcPr>
          <w:p w:rsidR="004F1146" w:rsidRPr="004D3DC6" w:rsidRDefault="004F1146"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Benefits</w:t>
            </w:r>
          </w:p>
        </w:tc>
      </w:tr>
      <w:tr w:rsidR="004F1146" w:rsidRPr="004D3DC6" w:rsidTr="00D84DC9">
        <w:trPr>
          <w:trHeight w:val="300"/>
          <w:jc w:val="center"/>
        </w:trPr>
        <w:tc>
          <w:tcPr>
            <w:tcW w:w="6565" w:type="dxa"/>
            <w:gridSpan w:val="4"/>
            <w:tcBorders>
              <w:top w:val="nil"/>
              <w:left w:val="single" w:sz="8" w:space="0" w:color="auto"/>
              <w:bottom w:val="single" w:sz="4" w:space="0" w:color="auto"/>
              <w:right w:val="single" w:sz="8" w:space="0" w:color="000000"/>
            </w:tcBorders>
            <w:shd w:val="clear" w:color="auto" w:fill="auto"/>
            <w:vAlign w:val="center"/>
            <w:hideMark/>
          </w:tcPr>
          <w:p w:rsidR="004F1146" w:rsidRPr="004D3DC6" w:rsidRDefault="004F1146" w:rsidP="0097447A">
            <w:pPr>
              <w:spacing w:after="0" w:line="276" w:lineRule="auto"/>
              <w:contextualSpacing/>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Market</w:t>
            </w:r>
          </w:p>
        </w:tc>
      </w:tr>
      <w:tr w:rsidR="004F1146" w:rsidRPr="004D3DC6" w:rsidTr="00D84DC9">
        <w:trPr>
          <w:trHeight w:val="300"/>
          <w:jc w:val="center"/>
        </w:trPr>
        <w:tc>
          <w:tcPr>
            <w:tcW w:w="3119"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Trust (scale 1-10)</w:t>
            </w:r>
          </w:p>
        </w:tc>
        <w:tc>
          <w:tcPr>
            <w:tcW w:w="1146"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0.60</w:t>
            </w:r>
          </w:p>
        </w:tc>
        <w:tc>
          <w:tcPr>
            <w:tcW w:w="1180"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1.00</w:t>
            </w:r>
          </w:p>
        </w:tc>
      </w:tr>
      <w:tr w:rsidR="004F1146" w:rsidRPr="004D3DC6" w:rsidTr="00D84DC9">
        <w:trPr>
          <w:trHeight w:val="300"/>
          <w:jc w:val="center"/>
        </w:trPr>
        <w:tc>
          <w:tcPr>
            <w:tcW w:w="6565"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4F1146" w:rsidRPr="004D3DC6" w:rsidRDefault="004F1146" w:rsidP="0097447A">
            <w:pPr>
              <w:spacing w:after="0" w:line="276" w:lineRule="auto"/>
              <w:contextualSpacing/>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Society</w:t>
            </w:r>
          </w:p>
        </w:tc>
      </w:tr>
      <w:tr w:rsidR="004F1146" w:rsidRPr="004D3DC6" w:rsidTr="00D84DC9">
        <w:trPr>
          <w:trHeight w:val="300"/>
          <w:jc w:val="center"/>
        </w:trPr>
        <w:tc>
          <w:tcPr>
            <w:tcW w:w="3119"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Employment (</w:t>
            </w:r>
            <w:r w:rsidR="006C4B63" w:rsidRPr="004D3DC6">
              <w:rPr>
                <w:rFonts w:ascii="Verdana" w:eastAsia="Times New Roman" w:hAnsi="Verdana" w:cs="Times New Roman"/>
                <w:color w:val="000000"/>
                <w:sz w:val="18"/>
                <w:szCs w:val="18"/>
              </w:rPr>
              <w:t>jobs</w:t>
            </w:r>
            <w:r w:rsidRPr="004D3DC6">
              <w:rPr>
                <w:rFonts w:ascii="Verdana" w:eastAsia="Times New Roman" w:hAnsi="Verdana" w:cs="Times New Roman"/>
                <w:color w:val="000000"/>
                <w:sz w:val="18"/>
                <w:szCs w:val="18"/>
              </w:rPr>
              <w:t>)</w:t>
            </w:r>
          </w:p>
        </w:tc>
        <w:tc>
          <w:tcPr>
            <w:tcW w:w="1146"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1.00</w:t>
            </w:r>
          </w:p>
        </w:tc>
        <w:tc>
          <w:tcPr>
            <w:tcW w:w="1180"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0.75</w:t>
            </w:r>
          </w:p>
        </w:tc>
      </w:tr>
      <w:tr w:rsidR="004F1146" w:rsidRPr="004D3DC6" w:rsidTr="00D84DC9">
        <w:trPr>
          <w:trHeight w:val="300"/>
          <w:jc w:val="center"/>
        </w:trPr>
        <w:tc>
          <w:tcPr>
            <w:tcW w:w="6565"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4F1146" w:rsidRPr="004D3DC6" w:rsidRDefault="006C4B63" w:rsidP="0097447A">
            <w:pPr>
              <w:spacing w:after="0" w:line="276" w:lineRule="auto"/>
              <w:contextualSpacing/>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Business</w:t>
            </w:r>
          </w:p>
        </w:tc>
      </w:tr>
      <w:tr w:rsidR="004F1146" w:rsidRPr="004D3DC6" w:rsidTr="00D84DC9">
        <w:trPr>
          <w:trHeight w:val="300"/>
          <w:jc w:val="center"/>
        </w:trPr>
        <w:tc>
          <w:tcPr>
            <w:tcW w:w="3119"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Delay (days)</w:t>
            </w:r>
          </w:p>
        </w:tc>
        <w:tc>
          <w:tcPr>
            <w:tcW w:w="1146"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0.75</w:t>
            </w:r>
          </w:p>
        </w:tc>
        <w:tc>
          <w:tcPr>
            <w:tcW w:w="1180"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1.00</w:t>
            </w:r>
          </w:p>
        </w:tc>
      </w:tr>
      <w:tr w:rsidR="004F1146" w:rsidRPr="004D3DC6" w:rsidTr="00D84DC9">
        <w:trPr>
          <w:trHeight w:val="300"/>
          <w:jc w:val="center"/>
        </w:trPr>
        <w:tc>
          <w:tcPr>
            <w:tcW w:w="3119"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Operation and financial (€)</w:t>
            </w:r>
          </w:p>
        </w:tc>
        <w:tc>
          <w:tcPr>
            <w:tcW w:w="1146"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0.79</w:t>
            </w:r>
          </w:p>
        </w:tc>
        <w:tc>
          <w:tcPr>
            <w:tcW w:w="1180"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1.00</w:t>
            </w:r>
          </w:p>
        </w:tc>
      </w:tr>
      <w:tr w:rsidR="004F1146" w:rsidRPr="004D3DC6" w:rsidTr="00D84DC9">
        <w:trPr>
          <w:trHeight w:val="315"/>
          <w:jc w:val="center"/>
        </w:trPr>
        <w:tc>
          <w:tcPr>
            <w:tcW w:w="3119"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Enforcement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1146"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1.00</w:t>
            </w:r>
          </w:p>
        </w:tc>
        <w:tc>
          <w:tcPr>
            <w:tcW w:w="1180"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0.69</w:t>
            </w:r>
          </w:p>
        </w:tc>
      </w:tr>
      <w:tr w:rsidR="004F1146" w:rsidRPr="004D3DC6" w:rsidTr="00D84DC9">
        <w:trPr>
          <w:trHeight w:val="315"/>
          <w:jc w:val="center"/>
        </w:trPr>
        <w:tc>
          <w:tcPr>
            <w:tcW w:w="6565" w:type="dxa"/>
            <w:gridSpan w:val="4"/>
            <w:tcBorders>
              <w:top w:val="single" w:sz="8" w:space="0" w:color="auto"/>
              <w:left w:val="single" w:sz="8" w:space="0" w:color="auto"/>
              <w:bottom w:val="single" w:sz="8" w:space="0" w:color="auto"/>
              <w:right w:val="single" w:sz="8" w:space="0" w:color="000000"/>
            </w:tcBorders>
            <w:shd w:val="clear" w:color="000000" w:fill="D9D9D9"/>
            <w:vAlign w:val="center"/>
            <w:hideMark/>
          </w:tcPr>
          <w:p w:rsidR="004F1146" w:rsidRPr="004D3DC6" w:rsidRDefault="004F1146"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Costs</w:t>
            </w:r>
          </w:p>
        </w:tc>
      </w:tr>
      <w:tr w:rsidR="004F1146" w:rsidRPr="004D3DC6" w:rsidTr="00D84DC9">
        <w:trPr>
          <w:trHeight w:val="300"/>
          <w:jc w:val="center"/>
        </w:trPr>
        <w:tc>
          <w:tcPr>
            <w:tcW w:w="6565" w:type="dxa"/>
            <w:gridSpan w:val="4"/>
            <w:tcBorders>
              <w:top w:val="nil"/>
              <w:left w:val="single" w:sz="8" w:space="0" w:color="auto"/>
              <w:bottom w:val="single" w:sz="4" w:space="0" w:color="auto"/>
              <w:right w:val="single" w:sz="8" w:space="0" w:color="000000"/>
            </w:tcBorders>
            <w:shd w:val="clear" w:color="auto" w:fill="auto"/>
            <w:vAlign w:val="center"/>
            <w:hideMark/>
          </w:tcPr>
          <w:p w:rsidR="004F1146" w:rsidRPr="004D3DC6" w:rsidRDefault="004F1146" w:rsidP="0097447A">
            <w:pPr>
              <w:spacing w:after="0" w:line="276" w:lineRule="auto"/>
              <w:contextualSpacing/>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Business</w:t>
            </w:r>
          </w:p>
        </w:tc>
      </w:tr>
      <w:tr w:rsidR="004F1146" w:rsidRPr="004D3DC6" w:rsidTr="00D84DC9">
        <w:trPr>
          <w:trHeight w:val="300"/>
          <w:jc w:val="center"/>
        </w:trPr>
        <w:tc>
          <w:tcPr>
            <w:tcW w:w="3119"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Administrative burden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1146"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1.00</w:t>
            </w:r>
          </w:p>
        </w:tc>
        <w:tc>
          <w:tcPr>
            <w:tcW w:w="1180"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0.55</w:t>
            </w:r>
          </w:p>
        </w:tc>
      </w:tr>
      <w:tr w:rsidR="004F1146" w:rsidRPr="004D3DC6" w:rsidTr="00D84DC9">
        <w:trPr>
          <w:trHeight w:val="300"/>
          <w:jc w:val="center"/>
        </w:trPr>
        <w:tc>
          <w:tcPr>
            <w:tcW w:w="3119"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Operation and financial (€)</w:t>
            </w:r>
          </w:p>
        </w:tc>
        <w:tc>
          <w:tcPr>
            <w:tcW w:w="1146"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80"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1.00</w:t>
            </w:r>
          </w:p>
        </w:tc>
      </w:tr>
      <w:tr w:rsidR="004F1146" w:rsidRPr="004D3DC6" w:rsidTr="00D84DC9">
        <w:trPr>
          <w:trHeight w:val="300"/>
          <w:jc w:val="center"/>
        </w:trPr>
        <w:tc>
          <w:tcPr>
            <w:tcW w:w="3119"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Enforcement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1146"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1.00</w:t>
            </w:r>
          </w:p>
        </w:tc>
        <w:tc>
          <w:tcPr>
            <w:tcW w:w="1180"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0.89</w:t>
            </w:r>
          </w:p>
        </w:tc>
      </w:tr>
      <w:tr w:rsidR="004F1146" w:rsidRPr="004D3DC6" w:rsidTr="00D84DC9">
        <w:trPr>
          <w:trHeight w:val="300"/>
          <w:jc w:val="center"/>
        </w:trPr>
        <w:tc>
          <w:tcPr>
            <w:tcW w:w="6565" w:type="dxa"/>
            <w:gridSpan w:val="4"/>
            <w:tcBorders>
              <w:top w:val="single" w:sz="4" w:space="0" w:color="auto"/>
              <w:left w:val="single" w:sz="8" w:space="0" w:color="auto"/>
              <w:bottom w:val="single" w:sz="4" w:space="0" w:color="auto"/>
              <w:right w:val="single" w:sz="8" w:space="0" w:color="000000"/>
            </w:tcBorders>
            <w:shd w:val="clear" w:color="auto" w:fill="auto"/>
            <w:vAlign w:val="center"/>
            <w:hideMark/>
          </w:tcPr>
          <w:p w:rsidR="004F1146" w:rsidRPr="004D3DC6" w:rsidRDefault="004F1146" w:rsidP="0097447A">
            <w:pPr>
              <w:spacing w:after="0" w:line="276" w:lineRule="auto"/>
              <w:contextualSpacing/>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Institutions</w:t>
            </w:r>
          </w:p>
        </w:tc>
      </w:tr>
      <w:tr w:rsidR="004F1146" w:rsidRPr="004D3DC6" w:rsidTr="00D84DC9">
        <w:trPr>
          <w:trHeight w:val="300"/>
          <w:jc w:val="center"/>
        </w:trPr>
        <w:tc>
          <w:tcPr>
            <w:tcW w:w="3119"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Administrative burden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1146"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1.00</w:t>
            </w:r>
          </w:p>
        </w:tc>
        <w:tc>
          <w:tcPr>
            <w:tcW w:w="1180"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r>
      <w:tr w:rsidR="004F1146" w:rsidRPr="004D3DC6" w:rsidTr="00D84DC9">
        <w:trPr>
          <w:trHeight w:val="300"/>
          <w:jc w:val="center"/>
        </w:trPr>
        <w:tc>
          <w:tcPr>
            <w:tcW w:w="3119"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Operation and financial (€)</w:t>
            </w:r>
          </w:p>
        </w:tc>
        <w:tc>
          <w:tcPr>
            <w:tcW w:w="1146"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1.00</w:t>
            </w:r>
          </w:p>
        </w:tc>
        <w:tc>
          <w:tcPr>
            <w:tcW w:w="1180"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0.53</w:t>
            </w:r>
          </w:p>
        </w:tc>
      </w:tr>
      <w:tr w:rsidR="004F1146" w:rsidRPr="004D3DC6" w:rsidTr="00D84DC9">
        <w:trPr>
          <w:trHeight w:val="315"/>
          <w:jc w:val="center"/>
        </w:trPr>
        <w:tc>
          <w:tcPr>
            <w:tcW w:w="3119" w:type="dxa"/>
            <w:tcBorders>
              <w:top w:val="nil"/>
              <w:left w:val="single" w:sz="8" w:space="0" w:color="auto"/>
              <w:bottom w:val="single" w:sz="8"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Enforcement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1146" w:type="dxa"/>
            <w:tcBorders>
              <w:top w:val="nil"/>
              <w:left w:val="nil"/>
              <w:bottom w:val="single" w:sz="8"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20" w:type="dxa"/>
            <w:tcBorders>
              <w:top w:val="nil"/>
              <w:left w:val="nil"/>
              <w:bottom w:val="single" w:sz="8"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0.13</w:t>
            </w:r>
          </w:p>
        </w:tc>
        <w:tc>
          <w:tcPr>
            <w:tcW w:w="1180" w:type="dxa"/>
            <w:tcBorders>
              <w:top w:val="nil"/>
              <w:left w:val="nil"/>
              <w:bottom w:val="single" w:sz="8"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1.00</w:t>
            </w:r>
          </w:p>
        </w:tc>
      </w:tr>
    </w:tbl>
    <w:p w:rsidR="002063E2" w:rsidRPr="004D3DC6" w:rsidRDefault="002063E2" w:rsidP="0097447A">
      <w:pPr>
        <w:pStyle w:val="Bijschrift"/>
        <w:keepNext/>
        <w:spacing w:after="0" w:line="276" w:lineRule="auto"/>
        <w:contextualSpacing/>
        <w:rPr>
          <w:rFonts w:ascii="Verdana" w:hAnsi="Verdana"/>
          <w:b/>
          <w:i w:val="0"/>
          <w:iCs w:val="0"/>
          <w:color w:val="auto"/>
        </w:rPr>
      </w:pPr>
    </w:p>
    <w:p w:rsidR="002063E2" w:rsidRPr="004D3DC6" w:rsidRDefault="002063E2" w:rsidP="0097447A">
      <w:pPr>
        <w:pStyle w:val="Bijschrift"/>
        <w:keepNext/>
        <w:spacing w:after="0" w:line="276" w:lineRule="auto"/>
        <w:contextualSpacing/>
        <w:rPr>
          <w:rFonts w:ascii="Verdana" w:hAnsi="Verdana"/>
          <w:b/>
          <w:i w:val="0"/>
          <w:iCs w:val="0"/>
          <w:color w:val="auto"/>
        </w:rPr>
      </w:pPr>
    </w:p>
    <w:p w:rsidR="004F1146" w:rsidRPr="004D3DC6" w:rsidRDefault="004F1146" w:rsidP="0097447A">
      <w:pPr>
        <w:spacing w:after="0" w:line="276" w:lineRule="auto"/>
        <w:contextualSpacing/>
        <w:rPr>
          <w:rFonts w:ascii="Verdana" w:hAnsi="Verdana"/>
          <w:b/>
          <w:sz w:val="18"/>
          <w:szCs w:val="18"/>
        </w:rPr>
      </w:pPr>
      <w:r w:rsidRPr="004D3DC6">
        <w:rPr>
          <w:rFonts w:ascii="Verdana" w:hAnsi="Verdana"/>
          <w:b/>
          <w:i/>
          <w:iCs/>
          <w:sz w:val="18"/>
          <w:szCs w:val="18"/>
        </w:rPr>
        <w:br w:type="page"/>
      </w:r>
    </w:p>
    <w:p w:rsidR="002063E2" w:rsidRPr="004D3DC6" w:rsidRDefault="002063E2" w:rsidP="0097447A">
      <w:pPr>
        <w:pStyle w:val="Bijschrift"/>
        <w:keepNext/>
        <w:spacing w:after="0" w:line="276" w:lineRule="auto"/>
        <w:contextualSpacing/>
        <w:rPr>
          <w:rFonts w:ascii="Verdana" w:hAnsi="Verdana"/>
          <w:b/>
          <w:i w:val="0"/>
          <w:iCs w:val="0"/>
          <w:color w:val="auto"/>
        </w:rPr>
      </w:pPr>
      <w:r w:rsidRPr="004D3DC6">
        <w:rPr>
          <w:rFonts w:ascii="Verdana" w:hAnsi="Verdana"/>
          <w:b/>
          <w:i w:val="0"/>
          <w:iCs w:val="0"/>
          <w:color w:val="auto"/>
        </w:rPr>
        <w:lastRenderedPageBreak/>
        <w:t>Step 3: multiply and sum up</w:t>
      </w:r>
    </w:p>
    <w:p w:rsidR="008F09BD" w:rsidRPr="004D3DC6" w:rsidRDefault="008F09BD" w:rsidP="0097447A">
      <w:pPr>
        <w:spacing w:after="0" w:line="276" w:lineRule="auto"/>
        <w:contextualSpacing/>
        <w:jc w:val="both"/>
        <w:rPr>
          <w:rFonts w:ascii="Verdana" w:hAnsi="Verdana"/>
          <w:sz w:val="18"/>
          <w:szCs w:val="18"/>
        </w:rPr>
      </w:pPr>
      <w:r w:rsidRPr="004D3DC6">
        <w:rPr>
          <w:rFonts w:ascii="Verdana" w:hAnsi="Verdana"/>
          <w:sz w:val="18"/>
          <w:szCs w:val="18"/>
        </w:rPr>
        <w:t>The next steps include the assignment of criteria weights. These weights, that show the relative importance of criteria in the multi-criteria problem under consideration, can be determined by techniques such as literature review of comparable studies in the past, interviewing experts in the field, the Analytical Hierarchy Process</w:t>
      </w:r>
      <w:r w:rsidRPr="004D3DC6">
        <w:rPr>
          <w:rStyle w:val="Voetnootmarkering"/>
          <w:rFonts w:ascii="Verdana" w:hAnsi="Verdana"/>
          <w:sz w:val="18"/>
          <w:szCs w:val="18"/>
        </w:rPr>
        <w:footnoteReference w:id="1"/>
      </w:r>
      <w:r w:rsidR="005B3201" w:rsidRPr="004D3DC6">
        <w:rPr>
          <w:rFonts w:ascii="Verdana" w:hAnsi="Verdana"/>
          <w:sz w:val="18"/>
          <w:szCs w:val="18"/>
        </w:rPr>
        <w:t>, etc</w:t>
      </w:r>
      <w:r w:rsidRPr="004D3DC6">
        <w:rPr>
          <w:rFonts w:ascii="Verdana" w:hAnsi="Verdana"/>
          <w:sz w:val="18"/>
          <w:szCs w:val="18"/>
        </w:rPr>
        <w:t>.</w:t>
      </w:r>
    </w:p>
    <w:p w:rsidR="002063E2" w:rsidRPr="004D3DC6" w:rsidRDefault="002063E2" w:rsidP="0097447A">
      <w:pPr>
        <w:pStyle w:val="Bijschrift"/>
        <w:keepNext/>
        <w:spacing w:after="0" w:line="276" w:lineRule="auto"/>
        <w:contextualSpacing/>
        <w:jc w:val="center"/>
        <w:rPr>
          <w:rFonts w:ascii="Verdana" w:hAnsi="Verdana"/>
          <w:b/>
          <w:i w:val="0"/>
          <w:color w:val="auto"/>
          <w:sz w:val="16"/>
          <w:lang w:val="nl-BE"/>
        </w:rPr>
      </w:pPr>
      <w:r w:rsidRPr="004D3DC6">
        <w:rPr>
          <w:rFonts w:ascii="Verdana" w:hAnsi="Verdana"/>
          <w:b/>
          <w:i w:val="0"/>
          <w:color w:val="auto"/>
          <w:sz w:val="16"/>
          <w:lang w:val="nl-BE"/>
        </w:rPr>
        <w:t xml:space="preserve">Table </w:t>
      </w:r>
      <w:r w:rsidR="00385B66" w:rsidRPr="004D3DC6">
        <w:rPr>
          <w:rFonts w:ascii="Verdana" w:hAnsi="Verdana"/>
          <w:b/>
          <w:i w:val="0"/>
          <w:color w:val="auto"/>
          <w:sz w:val="16"/>
        </w:rPr>
        <w:t>3</w:t>
      </w:r>
      <w:r w:rsidRPr="004D3DC6">
        <w:rPr>
          <w:rFonts w:ascii="Verdana" w:hAnsi="Verdana"/>
          <w:b/>
          <w:i w:val="0"/>
          <w:color w:val="auto"/>
          <w:sz w:val="16"/>
          <w:lang w:val="nl-BE"/>
        </w:rPr>
        <w:t>: Weights for MCA</w:t>
      </w:r>
    </w:p>
    <w:tbl>
      <w:tblPr>
        <w:tblW w:w="4560" w:type="dxa"/>
        <w:jc w:val="center"/>
        <w:tblLook w:val="04A0" w:firstRow="1" w:lastRow="0" w:firstColumn="1" w:lastColumn="0" w:noHBand="0" w:noVBand="1"/>
      </w:tblPr>
      <w:tblGrid>
        <w:gridCol w:w="3780"/>
        <w:gridCol w:w="780"/>
      </w:tblGrid>
      <w:tr w:rsidR="004F1146" w:rsidRPr="004D3DC6" w:rsidTr="004F1146">
        <w:trPr>
          <w:trHeight w:val="300"/>
          <w:jc w:val="center"/>
        </w:trPr>
        <w:tc>
          <w:tcPr>
            <w:tcW w:w="3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Trust (scale 1-10)</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10%</w:t>
            </w:r>
          </w:p>
        </w:tc>
      </w:tr>
      <w:tr w:rsidR="004F1146" w:rsidRPr="004D3DC6" w:rsidTr="004F1146">
        <w:trPr>
          <w:trHeight w:val="315"/>
          <w:jc w:val="center"/>
        </w:trPr>
        <w:tc>
          <w:tcPr>
            <w:tcW w:w="3780" w:type="dxa"/>
            <w:tcBorders>
              <w:top w:val="nil"/>
              <w:left w:val="single" w:sz="4"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Employment (</w:t>
            </w:r>
            <w:r w:rsidR="006C4B63" w:rsidRPr="004D3DC6">
              <w:rPr>
                <w:rFonts w:ascii="Verdana" w:eastAsia="Times New Roman" w:hAnsi="Verdana" w:cs="Times New Roman"/>
                <w:color w:val="000000"/>
                <w:sz w:val="18"/>
                <w:szCs w:val="18"/>
              </w:rPr>
              <w:t>jobs</w:t>
            </w:r>
            <w:r w:rsidRPr="004D3DC6">
              <w:rPr>
                <w:rFonts w:ascii="Verdana" w:eastAsia="Times New Roman" w:hAnsi="Verdana" w:cs="Times New Roman"/>
                <w:color w:val="000000"/>
                <w:sz w:val="18"/>
                <w:szCs w:val="18"/>
              </w:rPr>
              <w:t>)</w:t>
            </w:r>
          </w:p>
        </w:tc>
        <w:tc>
          <w:tcPr>
            <w:tcW w:w="780"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20%</w:t>
            </w:r>
          </w:p>
        </w:tc>
      </w:tr>
      <w:tr w:rsidR="004F1146" w:rsidRPr="004D3DC6" w:rsidTr="004F1146">
        <w:trPr>
          <w:trHeight w:val="300"/>
          <w:jc w:val="center"/>
        </w:trPr>
        <w:tc>
          <w:tcPr>
            <w:tcW w:w="3780" w:type="dxa"/>
            <w:tcBorders>
              <w:top w:val="nil"/>
              <w:left w:val="single" w:sz="4"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Business</w:t>
            </w:r>
          </w:p>
        </w:tc>
        <w:tc>
          <w:tcPr>
            <w:tcW w:w="780"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 </w:t>
            </w:r>
          </w:p>
        </w:tc>
      </w:tr>
      <w:tr w:rsidR="004F1146" w:rsidRPr="004D3DC6" w:rsidTr="004F1146">
        <w:trPr>
          <w:trHeight w:val="300"/>
          <w:jc w:val="center"/>
        </w:trPr>
        <w:tc>
          <w:tcPr>
            <w:tcW w:w="3780" w:type="dxa"/>
            <w:tcBorders>
              <w:top w:val="nil"/>
              <w:left w:val="single" w:sz="4"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Delay (days)</w:t>
            </w:r>
          </w:p>
        </w:tc>
        <w:tc>
          <w:tcPr>
            <w:tcW w:w="780"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10%</w:t>
            </w:r>
          </w:p>
        </w:tc>
      </w:tr>
      <w:tr w:rsidR="004F1146" w:rsidRPr="004D3DC6" w:rsidTr="004F1146">
        <w:trPr>
          <w:trHeight w:val="300"/>
          <w:jc w:val="center"/>
        </w:trPr>
        <w:tc>
          <w:tcPr>
            <w:tcW w:w="3780" w:type="dxa"/>
            <w:tcBorders>
              <w:top w:val="nil"/>
              <w:left w:val="single" w:sz="4"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Administrative burden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780"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10%</w:t>
            </w:r>
          </w:p>
        </w:tc>
      </w:tr>
      <w:tr w:rsidR="004F1146" w:rsidRPr="004D3DC6" w:rsidTr="004F1146">
        <w:trPr>
          <w:trHeight w:val="300"/>
          <w:jc w:val="center"/>
        </w:trPr>
        <w:tc>
          <w:tcPr>
            <w:tcW w:w="3780"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Operation and financial (€)</w:t>
            </w:r>
          </w:p>
        </w:tc>
        <w:tc>
          <w:tcPr>
            <w:tcW w:w="780"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10%</w:t>
            </w:r>
          </w:p>
        </w:tc>
      </w:tr>
      <w:tr w:rsidR="004F1146" w:rsidRPr="004D3DC6" w:rsidTr="004F1146">
        <w:trPr>
          <w:trHeight w:val="300"/>
          <w:jc w:val="center"/>
        </w:trPr>
        <w:tc>
          <w:tcPr>
            <w:tcW w:w="3780" w:type="dxa"/>
            <w:tcBorders>
              <w:top w:val="nil"/>
              <w:left w:val="single" w:sz="4"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Enforcement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780"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10%</w:t>
            </w:r>
          </w:p>
        </w:tc>
      </w:tr>
      <w:tr w:rsidR="004F1146" w:rsidRPr="004D3DC6" w:rsidTr="004F1146">
        <w:trPr>
          <w:trHeight w:val="300"/>
          <w:jc w:val="center"/>
        </w:trPr>
        <w:tc>
          <w:tcPr>
            <w:tcW w:w="3780" w:type="dxa"/>
            <w:tcBorders>
              <w:top w:val="nil"/>
              <w:left w:val="single" w:sz="4"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Institutions</w:t>
            </w:r>
          </w:p>
        </w:tc>
        <w:tc>
          <w:tcPr>
            <w:tcW w:w="780"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 </w:t>
            </w:r>
          </w:p>
        </w:tc>
      </w:tr>
      <w:tr w:rsidR="004F1146" w:rsidRPr="004D3DC6" w:rsidTr="004F1146">
        <w:trPr>
          <w:trHeight w:val="300"/>
          <w:jc w:val="center"/>
        </w:trPr>
        <w:tc>
          <w:tcPr>
            <w:tcW w:w="3780" w:type="dxa"/>
            <w:tcBorders>
              <w:top w:val="nil"/>
              <w:left w:val="single" w:sz="4"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Administrative burden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780"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10%</w:t>
            </w:r>
          </w:p>
        </w:tc>
      </w:tr>
      <w:tr w:rsidR="004F1146" w:rsidRPr="004D3DC6" w:rsidTr="004F1146">
        <w:trPr>
          <w:trHeight w:val="300"/>
          <w:jc w:val="center"/>
        </w:trPr>
        <w:tc>
          <w:tcPr>
            <w:tcW w:w="3780"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Operation and financial (€)</w:t>
            </w:r>
          </w:p>
        </w:tc>
        <w:tc>
          <w:tcPr>
            <w:tcW w:w="780"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10%</w:t>
            </w:r>
          </w:p>
        </w:tc>
      </w:tr>
      <w:tr w:rsidR="004F1146" w:rsidRPr="004D3DC6" w:rsidTr="004F1146">
        <w:trPr>
          <w:trHeight w:val="300"/>
          <w:jc w:val="center"/>
        </w:trPr>
        <w:tc>
          <w:tcPr>
            <w:tcW w:w="3780" w:type="dxa"/>
            <w:tcBorders>
              <w:top w:val="nil"/>
              <w:left w:val="single" w:sz="4"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Enforcement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780"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10%</w:t>
            </w:r>
          </w:p>
        </w:tc>
      </w:tr>
    </w:tbl>
    <w:p w:rsidR="00332567" w:rsidRPr="004D3DC6" w:rsidRDefault="00332567" w:rsidP="0097447A">
      <w:pPr>
        <w:pStyle w:val="Bijschrift"/>
        <w:keepNext/>
        <w:spacing w:after="0" w:line="276" w:lineRule="auto"/>
        <w:contextualSpacing/>
        <w:rPr>
          <w:rFonts w:ascii="Verdana" w:hAnsi="Verdana"/>
          <w:b/>
          <w:i w:val="0"/>
          <w:iCs w:val="0"/>
          <w:color w:val="auto"/>
        </w:rPr>
      </w:pPr>
    </w:p>
    <w:tbl>
      <w:tblPr>
        <w:tblW w:w="6511" w:type="dxa"/>
        <w:jc w:val="center"/>
        <w:tblLook w:val="04A0" w:firstRow="1" w:lastRow="0" w:firstColumn="1" w:lastColumn="0" w:noHBand="0" w:noVBand="1"/>
      </w:tblPr>
      <w:tblGrid>
        <w:gridCol w:w="3118"/>
        <w:gridCol w:w="1125"/>
        <w:gridCol w:w="1134"/>
        <w:gridCol w:w="1134"/>
      </w:tblGrid>
      <w:tr w:rsidR="004F1146" w:rsidRPr="004D3DC6" w:rsidTr="00D84DC9">
        <w:trPr>
          <w:trHeight w:val="315"/>
          <w:jc w:val="center"/>
        </w:trPr>
        <w:tc>
          <w:tcPr>
            <w:tcW w:w="3118" w:type="dxa"/>
            <w:tcBorders>
              <w:top w:val="single" w:sz="8" w:space="0" w:color="auto"/>
              <w:left w:val="single" w:sz="8" w:space="0" w:color="auto"/>
              <w:bottom w:val="single" w:sz="8" w:space="0" w:color="auto"/>
              <w:right w:val="nil"/>
            </w:tcBorders>
            <w:shd w:val="clear" w:color="auto" w:fill="auto"/>
            <w:vAlign w:val="center"/>
            <w:hideMark/>
          </w:tcPr>
          <w:p w:rsidR="004F1146" w:rsidRPr="004D3DC6" w:rsidRDefault="004F1146" w:rsidP="0097447A">
            <w:pPr>
              <w:spacing w:after="0" w:line="276" w:lineRule="auto"/>
              <w:contextualSpacing/>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 </w:t>
            </w:r>
          </w:p>
        </w:tc>
        <w:tc>
          <w:tcPr>
            <w:tcW w:w="1125"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Option 0</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Option 1</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Option 2</w:t>
            </w:r>
          </w:p>
        </w:tc>
      </w:tr>
      <w:tr w:rsidR="004F1146" w:rsidRPr="004D3DC6" w:rsidTr="00D84DC9">
        <w:trPr>
          <w:trHeight w:val="188"/>
          <w:jc w:val="center"/>
        </w:trPr>
        <w:tc>
          <w:tcPr>
            <w:tcW w:w="6511" w:type="dxa"/>
            <w:gridSpan w:val="4"/>
            <w:tcBorders>
              <w:top w:val="nil"/>
              <w:left w:val="single" w:sz="8" w:space="0" w:color="auto"/>
              <w:bottom w:val="single" w:sz="8" w:space="0" w:color="auto"/>
              <w:right w:val="single" w:sz="8" w:space="0" w:color="000000"/>
            </w:tcBorders>
            <w:shd w:val="clear" w:color="000000" w:fill="D9D9D9"/>
            <w:vAlign w:val="center"/>
            <w:hideMark/>
          </w:tcPr>
          <w:p w:rsidR="004F1146" w:rsidRPr="004D3DC6" w:rsidRDefault="004F1146"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Benefits</w:t>
            </w:r>
          </w:p>
        </w:tc>
      </w:tr>
      <w:tr w:rsidR="004F1146" w:rsidRPr="004D3DC6" w:rsidTr="00D84DC9">
        <w:trPr>
          <w:trHeight w:val="300"/>
          <w:jc w:val="center"/>
        </w:trPr>
        <w:tc>
          <w:tcPr>
            <w:tcW w:w="6511" w:type="dxa"/>
            <w:gridSpan w:val="4"/>
            <w:tcBorders>
              <w:top w:val="nil"/>
              <w:left w:val="single" w:sz="8" w:space="0" w:color="auto"/>
              <w:bottom w:val="single" w:sz="4" w:space="0" w:color="auto"/>
              <w:right w:val="single" w:sz="8" w:space="0" w:color="000000"/>
            </w:tcBorders>
            <w:shd w:val="clear" w:color="auto" w:fill="auto"/>
            <w:vAlign w:val="center"/>
            <w:hideMark/>
          </w:tcPr>
          <w:p w:rsidR="004F1146" w:rsidRPr="004D3DC6" w:rsidRDefault="004F1146" w:rsidP="0097447A">
            <w:pPr>
              <w:spacing w:after="0" w:line="276" w:lineRule="auto"/>
              <w:contextualSpacing/>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Market</w:t>
            </w:r>
          </w:p>
        </w:tc>
      </w:tr>
      <w:tr w:rsidR="004F1146" w:rsidRPr="004D3DC6" w:rsidTr="00D84DC9">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Trust (scale 1-10)</w:t>
            </w:r>
          </w:p>
        </w:tc>
        <w:tc>
          <w:tcPr>
            <w:tcW w:w="1125"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0.06</w:t>
            </w:r>
          </w:p>
        </w:tc>
        <w:tc>
          <w:tcPr>
            <w:tcW w:w="1134"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r>
      <w:tr w:rsidR="004F1146" w:rsidRPr="004D3DC6" w:rsidTr="00D84DC9">
        <w:trPr>
          <w:trHeight w:val="300"/>
          <w:jc w:val="center"/>
        </w:trPr>
        <w:tc>
          <w:tcPr>
            <w:tcW w:w="6511"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4F1146" w:rsidRPr="004D3DC6" w:rsidRDefault="004F1146" w:rsidP="0097447A">
            <w:pPr>
              <w:spacing w:after="0" w:line="276" w:lineRule="auto"/>
              <w:contextualSpacing/>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Society</w:t>
            </w:r>
          </w:p>
        </w:tc>
      </w:tr>
      <w:tr w:rsidR="004F1146" w:rsidRPr="004D3DC6" w:rsidTr="00D84DC9">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Employment (</w:t>
            </w:r>
            <w:r w:rsidR="006C4B63" w:rsidRPr="004D3DC6">
              <w:rPr>
                <w:rFonts w:ascii="Verdana" w:eastAsia="Times New Roman" w:hAnsi="Verdana" w:cs="Times New Roman"/>
                <w:color w:val="000000"/>
                <w:sz w:val="18"/>
                <w:szCs w:val="18"/>
              </w:rPr>
              <w:t>jobs</w:t>
            </w:r>
            <w:r w:rsidRPr="004D3DC6">
              <w:rPr>
                <w:rFonts w:ascii="Verdana" w:eastAsia="Times New Roman" w:hAnsi="Verdana" w:cs="Times New Roman"/>
                <w:color w:val="000000"/>
                <w:sz w:val="18"/>
                <w:szCs w:val="18"/>
              </w:rPr>
              <w:t>)</w:t>
            </w:r>
          </w:p>
        </w:tc>
        <w:tc>
          <w:tcPr>
            <w:tcW w:w="1125"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0.20</w:t>
            </w:r>
          </w:p>
        </w:tc>
        <w:tc>
          <w:tcPr>
            <w:tcW w:w="1134"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0.15</w:t>
            </w:r>
          </w:p>
        </w:tc>
      </w:tr>
      <w:tr w:rsidR="004F1146" w:rsidRPr="004D3DC6" w:rsidTr="00D84DC9">
        <w:trPr>
          <w:trHeight w:val="300"/>
          <w:jc w:val="center"/>
        </w:trPr>
        <w:tc>
          <w:tcPr>
            <w:tcW w:w="6511"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4F1146" w:rsidRPr="004D3DC6" w:rsidRDefault="006C4B63" w:rsidP="0097447A">
            <w:pPr>
              <w:spacing w:after="0" w:line="276" w:lineRule="auto"/>
              <w:contextualSpacing/>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Business</w:t>
            </w:r>
          </w:p>
        </w:tc>
      </w:tr>
      <w:tr w:rsidR="004F1146" w:rsidRPr="004D3DC6" w:rsidTr="00D84DC9">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Delay (days)</w:t>
            </w:r>
          </w:p>
        </w:tc>
        <w:tc>
          <w:tcPr>
            <w:tcW w:w="1125"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0.08</w:t>
            </w:r>
          </w:p>
        </w:tc>
        <w:tc>
          <w:tcPr>
            <w:tcW w:w="1134"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r>
      <w:tr w:rsidR="004F1146" w:rsidRPr="004D3DC6" w:rsidTr="00D84DC9">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Operation and financial (€)</w:t>
            </w:r>
          </w:p>
        </w:tc>
        <w:tc>
          <w:tcPr>
            <w:tcW w:w="1125"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0.08</w:t>
            </w:r>
          </w:p>
        </w:tc>
        <w:tc>
          <w:tcPr>
            <w:tcW w:w="1134"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r>
      <w:tr w:rsidR="004F1146" w:rsidRPr="004D3DC6" w:rsidTr="00D84DC9">
        <w:trPr>
          <w:trHeight w:val="315"/>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Enforcement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1125"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1134"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0.07</w:t>
            </w:r>
          </w:p>
        </w:tc>
      </w:tr>
      <w:tr w:rsidR="004F1146" w:rsidRPr="004D3DC6" w:rsidTr="00D84DC9">
        <w:trPr>
          <w:trHeight w:val="229"/>
          <w:jc w:val="center"/>
        </w:trPr>
        <w:tc>
          <w:tcPr>
            <w:tcW w:w="6511" w:type="dxa"/>
            <w:gridSpan w:val="4"/>
            <w:tcBorders>
              <w:top w:val="single" w:sz="8" w:space="0" w:color="auto"/>
              <w:left w:val="single" w:sz="8" w:space="0" w:color="auto"/>
              <w:bottom w:val="single" w:sz="8" w:space="0" w:color="auto"/>
              <w:right w:val="single" w:sz="8" w:space="0" w:color="000000"/>
            </w:tcBorders>
            <w:shd w:val="clear" w:color="000000" w:fill="D9D9D9"/>
            <w:vAlign w:val="center"/>
            <w:hideMark/>
          </w:tcPr>
          <w:p w:rsidR="004F1146" w:rsidRPr="004D3DC6" w:rsidRDefault="004F1146"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Costs</w:t>
            </w:r>
          </w:p>
        </w:tc>
      </w:tr>
      <w:tr w:rsidR="004F1146" w:rsidRPr="004D3DC6" w:rsidTr="00D84DC9">
        <w:trPr>
          <w:trHeight w:val="300"/>
          <w:jc w:val="center"/>
        </w:trPr>
        <w:tc>
          <w:tcPr>
            <w:tcW w:w="6511" w:type="dxa"/>
            <w:gridSpan w:val="4"/>
            <w:tcBorders>
              <w:top w:val="nil"/>
              <w:left w:val="single" w:sz="8" w:space="0" w:color="auto"/>
              <w:bottom w:val="single" w:sz="4" w:space="0" w:color="auto"/>
              <w:right w:val="single" w:sz="8" w:space="0" w:color="000000"/>
            </w:tcBorders>
            <w:shd w:val="clear" w:color="auto" w:fill="auto"/>
            <w:vAlign w:val="center"/>
            <w:hideMark/>
          </w:tcPr>
          <w:p w:rsidR="004F1146" w:rsidRPr="004D3DC6" w:rsidRDefault="004F1146" w:rsidP="0097447A">
            <w:pPr>
              <w:spacing w:after="0" w:line="276" w:lineRule="auto"/>
              <w:contextualSpacing/>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Business</w:t>
            </w:r>
          </w:p>
        </w:tc>
      </w:tr>
      <w:tr w:rsidR="004F1146" w:rsidRPr="004D3DC6" w:rsidTr="00D84DC9">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Administrative burden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1125"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1134"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0.06</w:t>
            </w:r>
          </w:p>
        </w:tc>
      </w:tr>
      <w:tr w:rsidR="004F1146" w:rsidRPr="004D3DC6" w:rsidTr="00D84DC9">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Operation and financial (€)</w:t>
            </w:r>
          </w:p>
        </w:tc>
        <w:tc>
          <w:tcPr>
            <w:tcW w:w="1125"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r>
      <w:tr w:rsidR="004F1146" w:rsidRPr="004D3DC6" w:rsidTr="00D84DC9">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Enforcement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1125"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1134"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0.09</w:t>
            </w:r>
          </w:p>
        </w:tc>
      </w:tr>
      <w:tr w:rsidR="004F1146" w:rsidRPr="004D3DC6" w:rsidTr="00D84DC9">
        <w:trPr>
          <w:trHeight w:val="300"/>
          <w:jc w:val="center"/>
        </w:trPr>
        <w:tc>
          <w:tcPr>
            <w:tcW w:w="6511" w:type="dxa"/>
            <w:gridSpan w:val="4"/>
            <w:tcBorders>
              <w:top w:val="single" w:sz="4" w:space="0" w:color="auto"/>
              <w:left w:val="single" w:sz="8" w:space="0" w:color="auto"/>
              <w:bottom w:val="single" w:sz="4" w:space="0" w:color="auto"/>
              <w:right w:val="single" w:sz="8" w:space="0" w:color="000000"/>
            </w:tcBorders>
            <w:shd w:val="clear" w:color="auto" w:fill="auto"/>
            <w:vAlign w:val="center"/>
            <w:hideMark/>
          </w:tcPr>
          <w:p w:rsidR="004F1146" w:rsidRPr="004D3DC6" w:rsidRDefault="004F1146" w:rsidP="0097447A">
            <w:pPr>
              <w:spacing w:after="0" w:line="276" w:lineRule="auto"/>
              <w:contextualSpacing/>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Institutions</w:t>
            </w:r>
          </w:p>
        </w:tc>
      </w:tr>
      <w:tr w:rsidR="004F1146" w:rsidRPr="004D3DC6" w:rsidTr="00D84DC9">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Administrative burden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1125"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1134"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r>
      <w:tr w:rsidR="004F1146" w:rsidRPr="004D3DC6" w:rsidTr="00D84DC9">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Operation and financial (€)</w:t>
            </w:r>
          </w:p>
        </w:tc>
        <w:tc>
          <w:tcPr>
            <w:tcW w:w="1125"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1134"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0.05</w:t>
            </w:r>
          </w:p>
        </w:tc>
      </w:tr>
      <w:tr w:rsidR="004F1146" w:rsidRPr="004D3DC6" w:rsidTr="00D84DC9">
        <w:trPr>
          <w:trHeight w:val="315"/>
          <w:jc w:val="center"/>
        </w:trPr>
        <w:tc>
          <w:tcPr>
            <w:tcW w:w="3118" w:type="dxa"/>
            <w:tcBorders>
              <w:top w:val="nil"/>
              <w:left w:val="single" w:sz="8" w:space="0" w:color="auto"/>
              <w:bottom w:val="single" w:sz="8"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Enforcement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1125" w:type="dxa"/>
            <w:tcBorders>
              <w:top w:val="nil"/>
              <w:left w:val="nil"/>
              <w:bottom w:val="single" w:sz="8"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8"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0.01</w:t>
            </w:r>
          </w:p>
        </w:tc>
        <w:tc>
          <w:tcPr>
            <w:tcW w:w="1134" w:type="dxa"/>
            <w:tcBorders>
              <w:top w:val="nil"/>
              <w:left w:val="nil"/>
              <w:bottom w:val="single" w:sz="8"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r>
    </w:tbl>
    <w:p w:rsidR="008F0147" w:rsidRDefault="008F0147" w:rsidP="0097447A">
      <w:pPr>
        <w:pStyle w:val="Bijschrift"/>
        <w:keepNext/>
        <w:spacing w:after="0" w:line="276" w:lineRule="auto"/>
        <w:contextualSpacing/>
        <w:rPr>
          <w:rFonts w:ascii="Verdana" w:hAnsi="Verdana"/>
          <w:b/>
          <w:i w:val="0"/>
          <w:iCs w:val="0"/>
          <w:color w:val="auto"/>
        </w:rPr>
      </w:pPr>
    </w:p>
    <w:p w:rsidR="002063E2" w:rsidRPr="004D3DC6" w:rsidRDefault="002063E2" w:rsidP="0097447A">
      <w:pPr>
        <w:pStyle w:val="Bijschrift"/>
        <w:keepNext/>
        <w:spacing w:after="0" w:line="276" w:lineRule="auto"/>
        <w:contextualSpacing/>
        <w:rPr>
          <w:rFonts w:ascii="Verdana" w:hAnsi="Verdana"/>
          <w:b/>
          <w:i w:val="0"/>
          <w:iCs w:val="0"/>
          <w:color w:val="auto"/>
        </w:rPr>
      </w:pPr>
      <w:r w:rsidRPr="004D3DC6">
        <w:rPr>
          <w:rFonts w:ascii="Verdana" w:hAnsi="Verdana"/>
          <w:b/>
          <w:i w:val="0"/>
          <w:iCs w:val="0"/>
          <w:color w:val="auto"/>
        </w:rPr>
        <w:t>Step 4: determine preference rule</w:t>
      </w:r>
    </w:p>
    <w:p w:rsidR="002063E2" w:rsidRPr="004D3DC6" w:rsidRDefault="002063E2" w:rsidP="0097447A">
      <w:pPr>
        <w:spacing w:after="0" w:line="276" w:lineRule="auto"/>
        <w:ind w:left="720"/>
        <w:contextualSpacing/>
        <w:rPr>
          <w:rFonts w:ascii="Verdana" w:hAnsi="Verdana"/>
          <w:b/>
          <w:sz w:val="18"/>
          <w:szCs w:val="18"/>
        </w:rPr>
      </w:pPr>
    </w:p>
    <w:tbl>
      <w:tblPr>
        <w:tblW w:w="6511" w:type="dxa"/>
        <w:jc w:val="center"/>
        <w:tblLook w:val="04A0" w:firstRow="1" w:lastRow="0" w:firstColumn="1" w:lastColumn="0" w:noHBand="0" w:noVBand="1"/>
      </w:tblPr>
      <w:tblGrid>
        <w:gridCol w:w="3118"/>
        <w:gridCol w:w="1134"/>
        <w:gridCol w:w="1134"/>
        <w:gridCol w:w="1125"/>
      </w:tblGrid>
      <w:tr w:rsidR="004F1146" w:rsidRPr="004D3DC6" w:rsidTr="00D84DC9">
        <w:trPr>
          <w:trHeight w:val="315"/>
          <w:jc w:val="center"/>
        </w:trPr>
        <w:tc>
          <w:tcPr>
            <w:tcW w:w="3118" w:type="dxa"/>
            <w:tcBorders>
              <w:top w:val="single" w:sz="8" w:space="0" w:color="auto"/>
              <w:left w:val="single" w:sz="8" w:space="0" w:color="auto"/>
              <w:bottom w:val="single" w:sz="8" w:space="0" w:color="auto"/>
              <w:right w:val="nil"/>
            </w:tcBorders>
            <w:shd w:val="clear" w:color="auto" w:fill="auto"/>
            <w:vAlign w:val="center"/>
            <w:hideMark/>
          </w:tcPr>
          <w:p w:rsidR="004F1146" w:rsidRPr="004D3DC6" w:rsidRDefault="004F1146" w:rsidP="0097447A">
            <w:pPr>
              <w:spacing w:after="0" w:line="276" w:lineRule="auto"/>
              <w:contextualSpacing/>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 </w:t>
            </w:r>
          </w:p>
        </w:tc>
        <w:tc>
          <w:tcPr>
            <w:tcW w:w="1134"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Option 0</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Option 1</w:t>
            </w:r>
          </w:p>
        </w:tc>
        <w:tc>
          <w:tcPr>
            <w:tcW w:w="1125" w:type="dxa"/>
            <w:tcBorders>
              <w:top w:val="single" w:sz="8" w:space="0" w:color="auto"/>
              <w:left w:val="nil"/>
              <w:bottom w:val="single" w:sz="8"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Option 2</w:t>
            </w:r>
          </w:p>
        </w:tc>
      </w:tr>
      <w:tr w:rsidR="004F1146" w:rsidRPr="004D3DC6" w:rsidTr="00D84DC9">
        <w:trPr>
          <w:trHeight w:val="315"/>
          <w:jc w:val="center"/>
        </w:trPr>
        <w:tc>
          <w:tcPr>
            <w:tcW w:w="6511" w:type="dxa"/>
            <w:gridSpan w:val="4"/>
            <w:tcBorders>
              <w:top w:val="nil"/>
              <w:left w:val="single" w:sz="8" w:space="0" w:color="auto"/>
              <w:bottom w:val="single" w:sz="8" w:space="0" w:color="auto"/>
              <w:right w:val="single" w:sz="8" w:space="0" w:color="000000"/>
            </w:tcBorders>
            <w:shd w:val="clear" w:color="000000" w:fill="D9D9D9"/>
            <w:vAlign w:val="center"/>
            <w:hideMark/>
          </w:tcPr>
          <w:p w:rsidR="004F1146" w:rsidRPr="004D3DC6" w:rsidRDefault="004F1146"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Benefits</w:t>
            </w:r>
          </w:p>
        </w:tc>
      </w:tr>
      <w:tr w:rsidR="004F1146" w:rsidRPr="004D3DC6" w:rsidTr="00D84DC9">
        <w:trPr>
          <w:trHeight w:val="300"/>
          <w:jc w:val="center"/>
        </w:trPr>
        <w:tc>
          <w:tcPr>
            <w:tcW w:w="6511" w:type="dxa"/>
            <w:gridSpan w:val="4"/>
            <w:tcBorders>
              <w:top w:val="nil"/>
              <w:left w:val="single" w:sz="8" w:space="0" w:color="auto"/>
              <w:bottom w:val="single" w:sz="4" w:space="0" w:color="auto"/>
              <w:right w:val="single" w:sz="8" w:space="0" w:color="000000"/>
            </w:tcBorders>
            <w:shd w:val="clear" w:color="auto" w:fill="auto"/>
            <w:vAlign w:val="center"/>
            <w:hideMark/>
          </w:tcPr>
          <w:p w:rsidR="004F1146" w:rsidRPr="004D3DC6" w:rsidRDefault="004F1146" w:rsidP="0097447A">
            <w:pPr>
              <w:spacing w:after="0" w:line="276" w:lineRule="auto"/>
              <w:contextualSpacing/>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Market</w:t>
            </w:r>
          </w:p>
        </w:tc>
      </w:tr>
      <w:tr w:rsidR="004F1146" w:rsidRPr="004D3DC6" w:rsidTr="00D84DC9">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Trust (scale 1-10)</w:t>
            </w:r>
          </w:p>
        </w:tc>
        <w:tc>
          <w:tcPr>
            <w:tcW w:w="1134"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0.06</w:t>
            </w:r>
          </w:p>
        </w:tc>
        <w:tc>
          <w:tcPr>
            <w:tcW w:w="1125"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r>
      <w:tr w:rsidR="004F1146" w:rsidRPr="004D3DC6" w:rsidTr="00D84DC9">
        <w:trPr>
          <w:trHeight w:val="300"/>
          <w:jc w:val="center"/>
        </w:trPr>
        <w:tc>
          <w:tcPr>
            <w:tcW w:w="6511"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4F1146" w:rsidRPr="004D3DC6" w:rsidRDefault="004F1146" w:rsidP="0097447A">
            <w:pPr>
              <w:spacing w:after="0" w:line="276" w:lineRule="auto"/>
              <w:contextualSpacing/>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Society</w:t>
            </w:r>
          </w:p>
        </w:tc>
      </w:tr>
      <w:tr w:rsidR="004F1146" w:rsidRPr="004D3DC6" w:rsidTr="00D84DC9">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Employment (</w:t>
            </w:r>
            <w:r w:rsidR="006C4B63" w:rsidRPr="004D3DC6">
              <w:rPr>
                <w:rFonts w:ascii="Verdana" w:eastAsia="Times New Roman" w:hAnsi="Verdana" w:cs="Times New Roman"/>
                <w:color w:val="000000"/>
                <w:sz w:val="18"/>
                <w:szCs w:val="18"/>
              </w:rPr>
              <w:t>jobs</w:t>
            </w:r>
            <w:r w:rsidRPr="004D3DC6">
              <w:rPr>
                <w:rFonts w:ascii="Verdana" w:eastAsia="Times New Roman" w:hAnsi="Verdana" w:cs="Times New Roman"/>
                <w:color w:val="00000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0.20</w:t>
            </w:r>
          </w:p>
        </w:tc>
        <w:tc>
          <w:tcPr>
            <w:tcW w:w="1125"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0.15</w:t>
            </w:r>
          </w:p>
        </w:tc>
      </w:tr>
      <w:tr w:rsidR="004F1146" w:rsidRPr="004D3DC6" w:rsidTr="00D84DC9">
        <w:trPr>
          <w:trHeight w:val="300"/>
          <w:jc w:val="center"/>
        </w:trPr>
        <w:tc>
          <w:tcPr>
            <w:tcW w:w="6511"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4F1146" w:rsidRPr="004D3DC6" w:rsidRDefault="006C4B63" w:rsidP="0097447A">
            <w:pPr>
              <w:spacing w:after="0" w:line="276" w:lineRule="auto"/>
              <w:contextualSpacing/>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Business</w:t>
            </w:r>
          </w:p>
        </w:tc>
      </w:tr>
      <w:tr w:rsidR="004F1146" w:rsidRPr="004D3DC6" w:rsidTr="00D84DC9">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Delay (days)</w:t>
            </w:r>
          </w:p>
        </w:tc>
        <w:tc>
          <w:tcPr>
            <w:tcW w:w="1134"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0.08</w:t>
            </w:r>
          </w:p>
        </w:tc>
        <w:tc>
          <w:tcPr>
            <w:tcW w:w="1125"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r>
      <w:tr w:rsidR="004F1146" w:rsidRPr="004D3DC6" w:rsidTr="00D84DC9">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Operation and financial (€)</w:t>
            </w:r>
          </w:p>
        </w:tc>
        <w:tc>
          <w:tcPr>
            <w:tcW w:w="1134"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0.08</w:t>
            </w:r>
          </w:p>
        </w:tc>
        <w:tc>
          <w:tcPr>
            <w:tcW w:w="1125"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r>
      <w:tr w:rsidR="004F1146" w:rsidRPr="004D3DC6" w:rsidTr="00D84DC9">
        <w:trPr>
          <w:trHeight w:val="315"/>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Enforcement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1125"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0.07</w:t>
            </w:r>
          </w:p>
        </w:tc>
      </w:tr>
      <w:tr w:rsidR="004F1146" w:rsidRPr="004D3DC6" w:rsidTr="00D84DC9">
        <w:trPr>
          <w:trHeight w:val="315"/>
          <w:jc w:val="center"/>
        </w:trPr>
        <w:tc>
          <w:tcPr>
            <w:tcW w:w="6511" w:type="dxa"/>
            <w:gridSpan w:val="4"/>
            <w:tcBorders>
              <w:top w:val="single" w:sz="8" w:space="0" w:color="auto"/>
              <w:left w:val="single" w:sz="8" w:space="0" w:color="auto"/>
              <w:bottom w:val="single" w:sz="8" w:space="0" w:color="auto"/>
              <w:right w:val="single" w:sz="8" w:space="0" w:color="000000"/>
            </w:tcBorders>
            <w:shd w:val="clear" w:color="000000" w:fill="D9D9D9"/>
            <w:vAlign w:val="center"/>
            <w:hideMark/>
          </w:tcPr>
          <w:p w:rsidR="004F1146" w:rsidRPr="004D3DC6" w:rsidRDefault="004F1146"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Costs</w:t>
            </w:r>
          </w:p>
        </w:tc>
      </w:tr>
      <w:tr w:rsidR="004F1146" w:rsidRPr="004D3DC6" w:rsidTr="00D84DC9">
        <w:trPr>
          <w:trHeight w:val="300"/>
          <w:jc w:val="center"/>
        </w:trPr>
        <w:tc>
          <w:tcPr>
            <w:tcW w:w="6511" w:type="dxa"/>
            <w:gridSpan w:val="4"/>
            <w:tcBorders>
              <w:top w:val="nil"/>
              <w:left w:val="single" w:sz="8" w:space="0" w:color="auto"/>
              <w:bottom w:val="single" w:sz="4" w:space="0" w:color="auto"/>
              <w:right w:val="single" w:sz="8" w:space="0" w:color="000000"/>
            </w:tcBorders>
            <w:shd w:val="clear" w:color="auto" w:fill="auto"/>
            <w:vAlign w:val="center"/>
            <w:hideMark/>
          </w:tcPr>
          <w:p w:rsidR="004F1146" w:rsidRPr="004D3DC6" w:rsidRDefault="004F1146" w:rsidP="0097447A">
            <w:pPr>
              <w:spacing w:after="0" w:line="276" w:lineRule="auto"/>
              <w:contextualSpacing/>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Business</w:t>
            </w:r>
          </w:p>
        </w:tc>
      </w:tr>
      <w:tr w:rsidR="004F1146" w:rsidRPr="004D3DC6" w:rsidTr="00D84DC9">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Administrative burden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1125"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0.06</w:t>
            </w:r>
          </w:p>
        </w:tc>
      </w:tr>
      <w:tr w:rsidR="004F1146" w:rsidRPr="004D3DC6" w:rsidTr="00D84DC9">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Operation and financial (€)</w:t>
            </w:r>
          </w:p>
        </w:tc>
        <w:tc>
          <w:tcPr>
            <w:tcW w:w="1134"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25"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r>
      <w:tr w:rsidR="004F1146" w:rsidRPr="004D3DC6" w:rsidTr="00D84DC9">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Enforcement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1125"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0.09</w:t>
            </w:r>
          </w:p>
        </w:tc>
      </w:tr>
      <w:tr w:rsidR="004F1146" w:rsidRPr="004D3DC6" w:rsidTr="00D84DC9">
        <w:trPr>
          <w:trHeight w:val="300"/>
          <w:jc w:val="center"/>
        </w:trPr>
        <w:tc>
          <w:tcPr>
            <w:tcW w:w="6511" w:type="dxa"/>
            <w:gridSpan w:val="4"/>
            <w:tcBorders>
              <w:top w:val="single" w:sz="4" w:space="0" w:color="auto"/>
              <w:left w:val="single" w:sz="8" w:space="0" w:color="auto"/>
              <w:bottom w:val="single" w:sz="4" w:space="0" w:color="auto"/>
              <w:right w:val="single" w:sz="8" w:space="0" w:color="000000"/>
            </w:tcBorders>
            <w:shd w:val="clear" w:color="auto" w:fill="auto"/>
            <w:vAlign w:val="center"/>
            <w:hideMark/>
          </w:tcPr>
          <w:p w:rsidR="004F1146" w:rsidRPr="004D3DC6" w:rsidRDefault="004F1146" w:rsidP="0097447A">
            <w:pPr>
              <w:spacing w:after="0" w:line="276" w:lineRule="auto"/>
              <w:contextualSpacing/>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Institutions</w:t>
            </w:r>
          </w:p>
        </w:tc>
      </w:tr>
      <w:tr w:rsidR="004F1146" w:rsidRPr="004D3DC6" w:rsidTr="00D84DC9">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Administrative burden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1125"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r>
      <w:tr w:rsidR="004F1146" w:rsidRPr="004D3DC6" w:rsidTr="00D84DC9">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Operation and financial (€)</w:t>
            </w:r>
          </w:p>
        </w:tc>
        <w:tc>
          <w:tcPr>
            <w:tcW w:w="1134"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1125" w:type="dxa"/>
            <w:tcBorders>
              <w:top w:val="nil"/>
              <w:left w:val="nil"/>
              <w:bottom w:val="single" w:sz="4"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0.05</w:t>
            </w:r>
          </w:p>
        </w:tc>
      </w:tr>
      <w:tr w:rsidR="004F1146" w:rsidRPr="004D3DC6" w:rsidTr="00D84DC9">
        <w:trPr>
          <w:trHeight w:val="315"/>
          <w:jc w:val="center"/>
        </w:trPr>
        <w:tc>
          <w:tcPr>
            <w:tcW w:w="3118" w:type="dxa"/>
            <w:tcBorders>
              <w:top w:val="nil"/>
              <w:left w:val="single" w:sz="8" w:space="0" w:color="auto"/>
              <w:bottom w:val="single" w:sz="18"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Enforcement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1134" w:type="dxa"/>
            <w:tcBorders>
              <w:top w:val="nil"/>
              <w:left w:val="nil"/>
              <w:bottom w:val="single" w:sz="18"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134" w:type="dxa"/>
            <w:tcBorders>
              <w:top w:val="nil"/>
              <w:left w:val="nil"/>
              <w:bottom w:val="single" w:sz="18" w:space="0" w:color="auto"/>
              <w:right w:val="single" w:sz="4"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0.01</w:t>
            </w:r>
          </w:p>
        </w:tc>
        <w:tc>
          <w:tcPr>
            <w:tcW w:w="1125" w:type="dxa"/>
            <w:tcBorders>
              <w:top w:val="nil"/>
              <w:left w:val="nil"/>
              <w:bottom w:val="single" w:sz="18" w:space="0" w:color="auto"/>
              <w:right w:val="single" w:sz="8" w:space="0" w:color="auto"/>
            </w:tcBorders>
            <w:shd w:val="clear" w:color="auto" w:fill="auto"/>
            <w:vAlign w:val="center"/>
            <w:hideMark/>
          </w:tcPr>
          <w:p w:rsidR="004F1146" w:rsidRPr="004D3DC6" w:rsidRDefault="004F1146"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r>
      <w:tr w:rsidR="004F1146" w:rsidRPr="004D3DC6" w:rsidTr="00D84DC9">
        <w:trPr>
          <w:trHeight w:val="315"/>
          <w:jc w:val="center"/>
        </w:trPr>
        <w:tc>
          <w:tcPr>
            <w:tcW w:w="3118" w:type="dxa"/>
            <w:tcBorders>
              <w:top w:val="single" w:sz="18" w:space="0" w:color="auto"/>
              <w:left w:val="single" w:sz="18" w:space="0" w:color="auto"/>
              <w:bottom w:val="single" w:sz="18" w:space="0" w:color="auto"/>
              <w:right w:val="single" w:sz="4" w:space="0" w:color="auto"/>
            </w:tcBorders>
            <w:shd w:val="clear" w:color="auto" w:fill="auto"/>
            <w:vAlign w:val="center"/>
            <w:hideMark/>
          </w:tcPr>
          <w:p w:rsidR="004F1146" w:rsidRPr="004D3DC6" w:rsidRDefault="004F1146" w:rsidP="0097447A">
            <w:pPr>
              <w:spacing w:after="0" w:line="276" w:lineRule="auto"/>
              <w:ind w:firstLineChars="100" w:firstLine="181"/>
              <w:contextualSpacing/>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Total</w:t>
            </w:r>
          </w:p>
        </w:tc>
        <w:tc>
          <w:tcPr>
            <w:tcW w:w="1134" w:type="dxa"/>
            <w:tcBorders>
              <w:top w:val="single" w:sz="18" w:space="0" w:color="auto"/>
              <w:left w:val="nil"/>
              <w:bottom w:val="single" w:sz="18" w:space="0" w:color="auto"/>
              <w:right w:val="single" w:sz="4" w:space="0" w:color="auto"/>
            </w:tcBorders>
            <w:shd w:val="clear" w:color="auto" w:fill="auto"/>
            <w:noWrap/>
            <w:vAlign w:val="center"/>
            <w:hideMark/>
          </w:tcPr>
          <w:p w:rsidR="004F1146" w:rsidRPr="004D3DC6" w:rsidRDefault="004F1146"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0.00</w:t>
            </w:r>
          </w:p>
        </w:tc>
        <w:tc>
          <w:tcPr>
            <w:tcW w:w="1134" w:type="dxa"/>
            <w:tcBorders>
              <w:top w:val="single" w:sz="18" w:space="0" w:color="auto"/>
              <w:left w:val="nil"/>
              <w:bottom w:val="single" w:sz="18" w:space="0" w:color="auto"/>
              <w:right w:val="single" w:sz="4" w:space="0" w:color="auto"/>
            </w:tcBorders>
            <w:shd w:val="clear" w:color="auto" w:fill="auto"/>
            <w:noWrap/>
            <w:vAlign w:val="center"/>
            <w:hideMark/>
          </w:tcPr>
          <w:p w:rsidR="004F1146" w:rsidRPr="004D3DC6" w:rsidRDefault="004F1146"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0.10</w:t>
            </w:r>
          </w:p>
        </w:tc>
        <w:tc>
          <w:tcPr>
            <w:tcW w:w="1125" w:type="dxa"/>
            <w:tcBorders>
              <w:top w:val="single" w:sz="18" w:space="0" w:color="auto"/>
              <w:left w:val="nil"/>
              <w:bottom w:val="single" w:sz="18" w:space="0" w:color="auto"/>
              <w:right w:val="single" w:sz="18" w:space="0" w:color="auto"/>
            </w:tcBorders>
            <w:shd w:val="clear" w:color="auto" w:fill="auto"/>
            <w:noWrap/>
            <w:vAlign w:val="center"/>
            <w:hideMark/>
          </w:tcPr>
          <w:p w:rsidR="004F1146" w:rsidRPr="004D3DC6" w:rsidRDefault="004F1146"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0.12</w:t>
            </w:r>
          </w:p>
        </w:tc>
      </w:tr>
    </w:tbl>
    <w:p w:rsidR="002063E2" w:rsidRPr="004D3DC6" w:rsidRDefault="002063E2" w:rsidP="0097447A">
      <w:pPr>
        <w:spacing w:after="0" w:line="276" w:lineRule="auto"/>
        <w:contextualSpacing/>
        <w:rPr>
          <w:rFonts w:ascii="Verdana" w:hAnsi="Verdana"/>
          <w:b/>
          <w:sz w:val="18"/>
          <w:szCs w:val="18"/>
        </w:rPr>
      </w:pPr>
    </w:p>
    <w:p w:rsidR="00E37E8E" w:rsidRPr="004D3DC6" w:rsidRDefault="004F1146" w:rsidP="0097447A">
      <w:pPr>
        <w:spacing w:after="0" w:line="276" w:lineRule="auto"/>
        <w:contextualSpacing/>
        <w:rPr>
          <w:rFonts w:ascii="Verdana" w:hAnsi="Verdana"/>
          <w:b/>
          <w:sz w:val="18"/>
          <w:szCs w:val="18"/>
        </w:rPr>
        <w:sectPr w:rsidR="00E37E8E" w:rsidRPr="004D3DC6" w:rsidSect="00BD1A89">
          <w:pgSz w:w="12240" w:h="15840"/>
          <w:pgMar w:top="1418" w:right="1418" w:bottom="1418" w:left="1418" w:header="709" w:footer="709" w:gutter="0"/>
          <w:cols w:space="708"/>
          <w:docGrid w:linePitch="360"/>
        </w:sectPr>
      </w:pPr>
      <w:r w:rsidRPr="004D3DC6">
        <w:rPr>
          <w:rFonts w:ascii="Verdana" w:hAnsi="Verdana"/>
          <w:b/>
          <w:sz w:val="18"/>
          <w:szCs w:val="18"/>
        </w:rPr>
        <w:br w:type="page"/>
      </w:r>
    </w:p>
    <w:p w:rsidR="002063E2" w:rsidRDefault="00B12091" w:rsidP="0097447A">
      <w:pPr>
        <w:pStyle w:val="Geenafstand"/>
        <w:spacing w:line="276" w:lineRule="auto"/>
        <w:contextualSpacing/>
        <w:rPr>
          <w:rFonts w:ascii="Verdana" w:hAnsi="Verdana"/>
          <w:b/>
          <w:color w:val="4472C4" w:themeColor="accent5"/>
          <w:sz w:val="20"/>
          <w:szCs w:val="18"/>
          <w:lang w:val="en-GB"/>
        </w:rPr>
      </w:pPr>
      <w:r w:rsidRPr="00B12091">
        <w:rPr>
          <w:rFonts w:ascii="Verdana" w:hAnsi="Verdana"/>
          <w:b/>
          <w:color w:val="4472C4" w:themeColor="accent5"/>
          <w:sz w:val="20"/>
          <w:szCs w:val="18"/>
          <w:lang w:val="en-GB"/>
        </w:rPr>
        <w:lastRenderedPageBreak/>
        <w:t>Part</w:t>
      </w:r>
      <w:r>
        <w:rPr>
          <w:rFonts w:ascii="Verdana" w:hAnsi="Verdana"/>
          <w:b/>
          <w:color w:val="4472C4" w:themeColor="accent5"/>
          <w:sz w:val="20"/>
          <w:szCs w:val="18"/>
          <w:lang w:val="en-GB"/>
        </w:rPr>
        <w:t xml:space="preserve"> 5</w:t>
      </w:r>
      <w:r w:rsidRPr="00B12091">
        <w:rPr>
          <w:rFonts w:ascii="Verdana" w:hAnsi="Verdana"/>
          <w:b/>
          <w:color w:val="4472C4" w:themeColor="accent5"/>
          <w:sz w:val="20"/>
          <w:szCs w:val="18"/>
          <w:lang w:val="en-GB"/>
        </w:rPr>
        <w:t xml:space="preserve">: </w:t>
      </w:r>
      <w:r w:rsidR="004F1146" w:rsidRPr="00B12091">
        <w:rPr>
          <w:rFonts w:ascii="Verdana" w:hAnsi="Verdana"/>
          <w:b/>
          <w:color w:val="4472C4" w:themeColor="accent5"/>
          <w:sz w:val="20"/>
          <w:szCs w:val="18"/>
          <w:lang w:val="en-GB"/>
        </w:rPr>
        <w:t>Sensitivity analysis</w:t>
      </w:r>
    </w:p>
    <w:p w:rsidR="00B12091" w:rsidRDefault="00B12091" w:rsidP="0097447A">
      <w:pPr>
        <w:spacing w:after="0" w:line="276" w:lineRule="auto"/>
        <w:contextualSpacing/>
        <w:rPr>
          <w:rFonts w:ascii="Verdana" w:hAnsi="Verdana"/>
          <w:b/>
          <w:sz w:val="18"/>
          <w:szCs w:val="18"/>
        </w:rPr>
      </w:pPr>
    </w:p>
    <w:p w:rsidR="00B12091" w:rsidRDefault="00B12091" w:rsidP="0097447A">
      <w:pPr>
        <w:spacing w:after="0" w:line="276" w:lineRule="auto"/>
        <w:contextualSpacing/>
        <w:rPr>
          <w:rFonts w:ascii="Verdana" w:hAnsi="Verdana"/>
          <w:b/>
          <w:sz w:val="18"/>
          <w:szCs w:val="18"/>
        </w:rPr>
      </w:pPr>
      <w:r>
        <w:rPr>
          <w:rFonts w:ascii="Verdana" w:hAnsi="Verdana"/>
          <w:b/>
          <w:sz w:val="18"/>
          <w:szCs w:val="18"/>
        </w:rPr>
        <w:t>Partial</w:t>
      </w:r>
      <w:r w:rsidRPr="004D3DC6">
        <w:rPr>
          <w:rFonts w:ascii="Verdana" w:hAnsi="Verdana"/>
          <w:b/>
          <w:sz w:val="18"/>
          <w:szCs w:val="18"/>
        </w:rPr>
        <w:t xml:space="preserve"> sensitivity analysis</w:t>
      </w:r>
    </w:p>
    <w:p w:rsidR="008F0147" w:rsidRPr="004D3DC6" w:rsidRDefault="008F0147" w:rsidP="0097447A">
      <w:pPr>
        <w:spacing w:after="0" w:line="276" w:lineRule="auto"/>
        <w:contextualSpacing/>
        <w:rPr>
          <w:rFonts w:ascii="Verdana" w:hAnsi="Verdana"/>
          <w:b/>
          <w:sz w:val="18"/>
          <w:szCs w:val="18"/>
        </w:rPr>
      </w:pPr>
    </w:p>
    <w:p w:rsidR="001E2C24" w:rsidRPr="004D3DC6" w:rsidRDefault="001E2C24" w:rsidP="0097447A">
      <w:pPr>
        <w:numPr>
          <w:ilvl w:val="0"/>
          <w:numId w:val="10"/>
        </w:numPr>
        <w:spacing w:after="0" w:line="276" w:lineRule="auto"/>
        <w:ind w:hanging="357"/>
        <w:contextualSpacing/>
        <w:rPr>
          <w:rFonts w:ascii="Verdana" w:hAnsi="Verdana"/>
          <w:sz w:val="18"/>
          <w:szCs w:val="18"/>
        </w:rPr>
      </w:pPr>
      <w:r w:rsidRPr="004D3DC6">
        <w:rPr>
          <w:rFonts w:ascii="Verdana" w:hAnsi="Verdana"/>
          <w:sz w:val="18"/>
          <w:szCs w:val="18"/>
        </w:rPr>
        <w:t xml:space="preserve">MCA 2: Change in weights: Trust: 10% </w:t>
      </w:r>
      <w:r w:rsidRPr="004D3DC6">
        <w:rPr>
          <w:rFonts w:ascii="Verdana" w:hAnsi="Verdana"/>
          <w:sz w:val="18"/>
          <w:szCs w:val="18"/>
        </w:rPr>
        <w:sym w:font="Wingdings" w:char="F0E8"/>
      </w:r>
      <w:r w:rsidRPr="004D3DC6">
        <w:rPr>
          <w:rFonts w:ascii="Verdana" w:hAnsi="Verdana"/>
          <w:sz w:val="18"/>
          <w:szCs w:val="18"/>
        </w:rPr>
        <w:t xml:space="preserve"> 20% and Employment: 20% </w:t>
      </w:r>
      <w:r w:rsidRPr="004D3DC6">
        <w:rPr>
          <w:rFonts w:ascii="Verdana" w:hAnsi="Verdana"/>
          <w:sz w:val="18"/>
          <w:szCs w:val="18"/>
        </w:rPr>
        <w:sym w:font="Wingdings" w:char="F0E8"/>
      </w:r>
      <w:r w:rsidRPr="004D3DC6">
        <w:rPr>
          <w:rFonts w:ascii="Verdana" w:hAnsi="Verdana"/>
          <w:sz w:val="18"/>
          <w:szCs w:val="18"/>
        </w:rPr>
        <w:t xml:space="preserve"> 10%</w:t>
      </w:r>
    </w:p>
    <w:p w:rsidR="001E2C24" w:rsidRPr="004D3DC6" w:rsidRDefault="001E2C24" w:rsidP="0097447A">
      <w:pPr>
        <w:numPr>
          <w:ilvl w:val="0"/>
          <w:numId w:val="10"/>
        </w:numPr>
        <w:spacing w:after="0" w:line="276" w:lineRule="auto"/>
        <w:ind w:hanging="357"/>
        <w:contextualSpacing/>
        <w:rPr>
          <w:rFonts w:ascii="Verdana" w:hAnsi="Verdana"/>
          <w:sz w:val="18"/>
          <w:szCs w:val="18"/>
        </w:rPr>
      </w:pPr>
      <w:r w:rsidRPr="004D3DC6">
        <w:rPr>
          <w:rFonts w:ascii="Verdana" w:hAnsi="Verdana"/>
          <w:sz w:val="18"/>
          <w:szCs w:val="18"/>
        </w:rPr>
        <w:t>MCA 3: transparency of payment practices: 30,000 companies yearly instead of 18,000 companies quarterly</w:t>
      </w:r>
    </w:p>
    <w:p w:rsidR="002E52EC" w:rsidRPr="004D3DC6" w:rsidRDefault="002E52EC" w:rsidP="0097447A">
      <w:pPr>
        <w:numPr>
          <w:ilvl w:val="0"/>
          <w:numId w:val="10"/>
        </w:numPr>
        <w:spacing w:after="0" w:line="276" w:lineRule="auto"/>
        <w:ind w:hanging="357"/>
        <w:contextualSpacing/>
        <w:rPr>
          <w:rFonts w:ascii="Verdana" w:hAnsi="Verdana"/>
          <w:sz w:val="18"/>
          <w:szCs w:val="18"/>
        </w:rPr>
      </w:pPr>
      <w:r w:rsidRPr="004D3DC6">
        <w:rPr>
          <w:rFonts w:ascii="Verdana" w:hAnsi="Verdana"/>
          <w:sz w:val="18"/>
          <w:szCs w:val="18"/>
        </w:rPr>
        <w:t>MCA 4: tax regulations: 50,000 applications instead of 30,000</w:t>
      </w:r>
    </w:p>
    <w:p w:rsidR="005272D8" w:rsidRPr="004D3DC6" w:rsidRDefault="005272D8" w:rsidP="0097447A">
      <w:pPr>
        <w:numPr>
          <w:ilvl w:val="0"/>
          <w:numId w:val="10"/>
        </w:numPr>
        <w:spacing w:after="0" w:line="276" w:lineRule="auto"/>
        <w:ind w:hanging="357"/>
        <w:contextualSpacing/>
        <w:rPr>
          <w:rFonts w:ascii="Verdana" w:hAnsi="Verdana"/>
          <w:sz w:val="18"/>
          <w:szCs w:val="18"/>
        </w:rPr>
      </w:pPr>
      <w:r w:rsidRPr="004D3DC6">
        <w:rPr>
          <w:rFonts w:ascii="Verdana" w:hAnsi="Verdana"/>
          <w:sz w:val="18"/>
          <w:szCs w:val="18"/>
        </w:rPr>
        <w:t xml:space="preserve">MCA 5: </w:t>
      </w:r>
      <w:r w:rsidR="003B0D40" w:rsidRPr="004D3DC6">
        <w:rPr>
          <w:rFonts w:ascii="Verdana" w:hAnsi="Verdana"/>
          <w:sz w:val="18"/>
          <w:szCs w:val="18"/>
        </w:rPr>
        <w:t>trust increases with 4.5 instead of 3</w:t>
      </w:r>
    </w:p>
    <w:p w:rsidR="001E2C24" w:rsidRPr="004D3DC6" w:rsidRDefault="001E2C24" w:rsidP="0097447A">
      <w:pPr>
        <w:spacing w:after="0" w:line="276" w:lineRule="auto"/>
        <w:ind w:left="2694"/>
        <w:contextualSpacing/>
        <w:rPr>
          <w:rFonts w:ascii="Verdana" w:hAnsi="Verdana"/>
          <w:sz w:val="18"/>
          <w:szCs w:val="18"/>
        </w:rPr>
      </w:pPr>
    </w:p>
    <w:tbl>
      <w:tblPr>
        <w:tblW w:w="13086" w:type="dxa"/>
        <w:jc w:val="center"/>
        <w:tblLook w:val="04A0" w:firstRow="1" w:lastRow="0" w:firstColumn="1" w:lastColumn="0" w:noHBand="0" w:noVBand="1"/>
      </w:tblPr>
      <w:tblGrid>
        <w:gridCol w:w="3118"/>
        <w:gridCol w:w="983"/>
        <w:gridCol w:w="992"/>
        <w:gridCol w:w="993"/>
        <w:gridCol w:w="992"/>
        <w:gridCol w:w="992"/>
        <w:gridCol w:w="992"/>
        <w:gridCol w:w="993"/>
        <w:gridCol w:w="992"/>
        <w:gridCol w:w="992"/>
        <w:gridCol w:w="1047"/>
      </w:tblGrid>
      <w:tr w:rsidR="005272D8" w:rsidRPr="004D3DC6" w:rsidTr="004D3DC6">
        <w:trPr>
          <w:trHeight w:val="315"/>
          <w:jc w:val="center"/>
        </w:trPr>
        <w:tc>
          <w:tcPr>
            <w:tcW w:w="311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272D8" w:rsidRPr="004D3DC6" w:rsidRDefault="005272D8" w:rsidP="0097447A">
            <w:pPr>
              <w:spacing w:after="0" w:line="276" w:lineRule="auto"/>
              <w:contextualSpacing/>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 </w:t>
            </w:r>
          </w:p>
        </w:tc>
        <w:tc>
          <w:tcPr>
            <w:tcW w:w="1975"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5272D8" w:rsidRPr="004D3DC6" w:rsidRDefault="005272D8"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MCA 1</w:t>
            </w:r>
          </w:p>
        </w:tc>
        <w:tc>
          <w:tcPr>
            <w:tcW w:w="1985" w:type="dxa"/>
            <w:gridSpan w:val="2"/>
            <w:tcBorders>
              <w:top w:val="single" w:sz="8" w:space="0" w:color="auto"/>
              <w:left w:val="nil"/>
              <w:bottom w:val="single" w:sz="8"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MCA 2</w:t>
            </w:r>
          </w:p>
        </w:tc>
        <w:tc>
          <w:tcPr>
            <w:tcW w:w="1984" w:type="dxa"/>
            <w:gridSpan w:val="2"/>
            <w:tcBorders>
              <w:top w:val="single" w:sz="8" w:space="0" w:color="auto"/>
              <w:left w:val="nil"/>
              <w:bottom w:val="single" w:sz="8"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MCA 3</w:t>
            </w:r>
          </w:p>
        </w:tc>
        <w:tc>
          <w:tcPr>
            <w:tcW w:w="1985" w:type="dxa"/>
            <w:gridSpan w:val="2"/>
            <w:tcBorders>
              <w:top w:val="single" w:sz="8" w:space="0" w:color="auto"/>
              <w:left w:val="nil"/>
              <w:bottom w:val="single" w:sz="8"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MCA 4</w:t>
            </w:r>
          </w:p>
        </w:tc>
        <w:tc>
          <w:tcPr>
            <w:tcW w:w="2039" w:type="dxa"/>
            <w:gridSpan w:val="2"/>
            <w:tcBorders>
              <w:top w:val="single" w:sz="8" w:space="0" w:color="auto"/>
              <w:left w:val="nil"/>
              <w:bottom w:val="single" w:sz="8"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 xml:space="preserve">MCA </w:t>
            </w:r>
            <w:r w:rsidR="00321EB1" w:rsidRPr="004D3DC6">
              <w:rPr>
                <w:rFonts w:ascii="Verdana" w:eastAsia="Times New Roman" w:hAnsi="Verdana" w:cs="Times New Roman"/>
                <w:b/>
                <w:bCs/>
                <w:color w:val="000000"/>
                <w:sz w:val="18"/>
                <w:szCs w:val="18"/>
              </w:rPr>
              <w:t>5</w:t>
            </w:r>
          </w:p>
        </w:tc>
      </w:tr>
      <w:tr w:rsidR="005272D8" w:rsidRPr="004D3DC6" w:rsidTr="004D3DC6">
        <w:trPr>
          <w:trHeight w:val="315"/>
          <w:jc w:val="center"/>
        </w:trPr>
        <w:tc>
          <w:tcPr>
            <w:tcW w:w="3118" w:type="dxa"/>
            <w:tcBorders>
              <w:top w:val="single" w:sz="8" w:space="0" w:color="auto"/>
              <w:left w:val="single" w:sz="8" w:space="0" w:color="auto"/>
              <w:bottom w:val="single" w:sz="8" w:space="0" w:color="auto"/>
              <w:right w:val="single" w:sz="8" w:space="0" w:color="auto"/>
            </w:tcBorders>
            <w:shd w:val="clear" w:color="auto" w:fill="auto"/>
            <w:vAlign w:val="center"/>
          </w:tcPr>
          <w:p w:rsidR="005272D8" w:rsidRPr="004D3DC6" w:rsidRDefault="005272D8" w:rsidP="0097447A">
            <w:pPr>
              <w:spacing w:after="0" w:line="276" w:lineRule="auto"/>
              <w:contextualSpacing/>
              <w:rPr>
                <w:rFonts w:ascii="Verdana" w:eastAsia="Times New Roman" w:hAnsi="Verdana" w:cs="Times New Roman"/>
                <w:b/>
                <w:bCs/>
                <w:color w:val="000000"/>
                <w:sz w:val="18"/>
                <w:szCs w:val="18"/>
              </w:rPr>
            </w:pPr>
          </w:p>
        </w:tc>
        <w:tc>
          <w:tcPr>
            <w:tcW w:w="983" w:type="dxa"/>
            <w:tcBorders>
              <w:top w:val="single" w:sz="8" w:space="0" w:color="auto"/>
              <w:left w:val="single" w:sz="8" w:space="0" w:color="auto"/>
              <w:bottom w:val="single" w:sz="8" w:space="0" w:color="auto"/>
              <w:right w:val="single" w:sz="4" w:space="0" w:color="auto"/>
            </w:tcBorders>
            <w:shd w:val="clear" w:color="auto" w:fill="auto"/>
            <w:vAlign w:val="center"/>
          </w:tcPr>
          <w:p w:rsidR="005272D8" w:rsidRPr="004D3DC6" w:rsidRDefault="005272D8"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Option 1</w:t>
            </w:r>
          </w:p>
        </w:tc>
        <w:tc>
          <w:tcPr>
            <w:tcW w:w="992" w:type="dxa"/>
            <w:tcBorders>
              <w:top w:val="single" w:sz="8" w:space="0" w:color="auto"/>
              <w:left w:val="nil"/>
              <w:bottom w:val="single" w:sz="8" w:space="0" w:color="auto"/>
              <w:right w:val="single" w:sz="8" w:space="0" w:color="auto"/>
            </w:tcBorders>
            <w:shd w:val="clear" w:color="auto" w:fill="auto"/>
            <w:vAlign w:val="center"/>
          </w:tcPr>
          <w:p w:rsidR="005272D8" w:rsidRPr="004D3DC6" w:rsidRDefault="005272D8"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Option 2</w:t>
            </w:r>
          </w:p>
        </w:tc>
        <w:tc>
          <w:tcPr>
            <w:tcW w:w="993" w:type="dxa"/>
            <w:tcBorders>
              <w:top w:val="single" w:sz="8" w:space="0" w:color="auto"/>
              <w:left w:val="nil"/>
              <w:bottom w:val="single" w:sz="8"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Option 1</w:t>
            </w:r>
          </w:p>
        </w:tc>
        <w:tc>
          <w:tcPr>
            <w:tcW w:w="992" w:type="dxa"/>
            <w:tcBorders>
              <w:top w:val="single" w:sz="8" w:space="0" w:color="auto"/>
              <w:left w:val="nil"/>
              <w:bottom w:val="single" w:sz="8"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Option 2</w:t>
            </w:r>
          </w:p>
        </w:tc>
        <w:tc>
          <w:tcPr>
            <w:tcW w:w="992" w:type="dxa"/>
            <w:tcBorders>
              <w:top w:val="single" w:sz="8" w:space="0" w:color="auto"/>
              <w:left w:val="nil"/>
              <w:bottom w:val="single" w:sz="8"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Option 1</w:t>
            </w:r>
          </w:p>
        </w:tc>
        <w:tc>
          <w:tcPr>
            <w:tcW w:w="992" w:type="dxa"/>
            <w:tcBorders>
              <w:top w:val="single" w:sz="8" w:space="0" w:color="auto"/>
              <w:left w:val="nil"/>
              <w:bottom w:val="single" w:sz="8"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Option 2</w:t>
            </w:r>
          </w:p>
        </w:tc>
        <w:tc>
          <w:tcPr>
            <w:tcW w:w="993" w:type="dxa"/>
            <w:tcBorders>
              <w:top w:val="single" w:sz="8" w:space="0" w:color="auto"/>
              <w:left w:val="nil"/>
              <w:bottom w:val="single" w:sz="8"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Option 1</w:t>
            </w:r>
          </w:p>
        </w:tc>
        <w:tc>
          <w:tcPr>
            <w:tcW w:w="992" w:type="dxa"/>
            <w:tcBorders>
              <w:top w:val="single" w:sz="8" w:space="0" w:color="auto"/>
              <w:left w:val="nil"/>
              <w:bottom w:val="single" w:sz="8"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Option 2</w:t>
            </w:r>
          </w:p>
        </w:tc>
        <w:tc>
          <w:tcPr>
            <w:tcW w:w="992" w:type="dxa"/>
            <w:tcBorders>
              <w:top w:val="single" w:sz="8" w:space="0" w:color="auto"/>
              <w:left w:val="nil"/>
              <w:bottom w:val="single" w:sz="8"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Option 1</w:t>
            </w:r>
          </w:p>
        </w:tc>
        <w:tc>
          <w:tcPr>
            <w:tcW w:w="1047" w:type="dxa"/>
            <w:tcBorders>
              <w:top w:val="single" w:sz="8" w:space="0" w:color="auto"/>
              <w:left w:val="nil"/>
              <w:bottom w:val="single" w:sz="8"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Option 2</w:t>
            </w:r>
          </w:p>
        </w:tc>
      </w:tr>
      <w:tr w:rsidR="005272D8" w:rsidRPr="004D3DC6" w:rsidTr="004D3DC6">
        <w:trPr>
          <w:trHeight w:val="315"/>
          <w:jc w:val="center"/>
        </w:trPr>
        <w:tc>
          <w:tcPr>
            <w:tcW w:w="13086" w:type="dxa"/>
            <w:gridSpan w:val="11"/>
            <w:tcBorders>
              <w:top w:val="nil"/>
              <w:left w:val="single" w:sz="8" w:space="0" w:color="auto"/>
              <w:bottom w:val="single" w:sz="8" w:space="0" w:color="auto"/>
              <w:right w:val="single" w:sz="8" w:space="0" w:color="000000"/>
            </w:tcBorders>
            <w:shd w:val="clear" w:color="000000" w:fill="D9D9D9"/>
            <w:vAlign w:val="center"/>
            <w:hideMark/>
          </w:tcPr>
          <w:p w:rsidR="005272D8" w:rsidRPr="004D3DC6" w:rsidRDefault="005272D8" w:rsidP="0097447A">
            <w:pPr>
              <w:spacing w:after="0" w:line="276" w:lineRule="auto"/>
              <w:contextualSpacing/>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Benefits</w:t>
            </w:r>
          </w:p>
        </w:tc>
      </w:tr>
      <w:tr w:rsidR="005272D8" w:rsidRPr="004D3DC6" w:rsidTr="004D3DC6">
        <w:trPr>
          <w:trHeight w:val="300"/>
          <w:jc w:val="center"/>
        </w:trPr>
        <w:tc>
          <w:tcPr>
            <w:tcW w:w="11047" w:type="dxa"/>
            <w:gridSpan w:val="9"/>
            <w:tcBorders>
              <w:top w:val="nil"/>
              <w:left w:val="single" w:sz="8" w:space="0" w:color="auto"/>
              <w:bottom w:val="single" w:sz="4" w:space="0" w:color="auto"/>
              <w:right w:val="single" w:sz="8" w:space="0" w:color="000000"/>
            </w:tcBorders>
            <w:shd w:val="clear" w:color="auto" w:fill="auto"/>
            <w:vAlign w:val="center"/>
            <w:hideMark/>
          </w:tcPr>
          <w:p w:rsidR="005272D8" w:rsidRPr="004D3DC6" w:rsidRDefault="005272D8" w:rsidP="0097447A">
            <w:pPr>
              <w:spacing w:after="0" w:line="276" w:lineRule="auto"/>
              <w:contextualSpacing/>
              <w:rPr>
                <w:rFonts w:ascii="Verdana" w:eastAsia="Times New Roman" w:hAnsi="Verdana" w:cs="Times New Roman"/>
                <w:i/>
                <w:iCs/>
                <w:color w:val="000000"/>
                <w:sz w:val="18"/>
                <w:szCs w:val="18"/>
              </w:rPr>
            </w:pPr>
            <w:r w:rsidRPr="004D3DC6">
              <w:rPr>
                <w:rFonts w:ascii="Verdana" w:eastAsia="Times New Roman" w:hAnsi="Verdana" w:cs="Times New Roman"/>
                <w:iCs/>
                <w:color w:val="000000"/>
                <w:sz w:val="18"/>
                <w:szCs w:val="18"/>
              </w:rPr>
              <w:t>Market</w:t>
            </w:r>
          </w:p>
        </w:tc>
        <w:tc>
          <w:tcPr>
            <w:tcW w:w="992" w:type="dxa"/>
            <w:tcBorders>
              <w:top w:val="nil"/>
              <w:left w:val="single" w:sz="8" w:space="0" w:color="auto"/>
              <w:bottom w:val="single" w:sz="4" w:space="0" w:color="auto"/>
              <w:right w:val="single" w:sz="8" w:space="0" w:color="000000"/>
            </w:tcBorders>
            <w:vAlign w:val="center"/>
          </w:tcPr>
          <w:p w:rsidR="005272D8" w:rsidRPr="004D3DC6" w:rsidRDefault="005272D8" w:rsidP="0097447A">
            <w:pPr>
              <w:spacing w:after="0" w:line="276" w:lineRule="auto"/>
              <w:contextualSpacing/>
              <w:rPr>
                <w:rFonts w:ascii="Verdana" w:eastAsia="Times New Roman" w:hAnsi="Verdana" w:cs="Times New Roman"/>
                <w:iCs/>
                <w:color w:val="000000"/>
                <w:sz w:val="18"/>
                <w:szCs w:val="18"/>
              </w:rPr>
            </w:pPr>
          </w:p>
        </w:tc>
        <w:tc>
          <w:tcPr>
            <w:tcW w:w="1047" w:type="dxa"/>
            <w:tcBorders>
              <w:top w:val="nil"/>
              <w:left w:val="single" w:sz="8" w:space="0" w:color="auto"/>
              <w:bottom w:val="single" w:sz="4" w:space="0" w:color="auto"/>
              <w:right w:val="single" w:sz="8" w:space="0" w:color="000000"/>
            </w:tcBorders>
            <w:vAlign w:val="center"/>
          </w:tcPr>
          <w:p w:rsidR="005272D8" w:rsidRPr="004D3DC6" w:rsidRDefault="005272D8" w:rsidP="0097447A">
            <w:pPr>
              <w:spacing w:after="0" w:line="276" w:lineRule="auto"/>
              <w:contextualSpacing/>
              <w:rPr>
                <w:rFonts w:ascii="Verdana" w:eastAsia="Times New Roman" w:hAnsi="Verdana" w:cs="Times New Roman"/>
                <w:iCs/>
                <w:color w:val="000000"/>
                <w:sz w:val="18"/>
                <w:szCs w:val="18"/>
              </w:rPr>
            </w:pPr>
          </w:p>
        </w:tc>
      </w:tr>
      <w:tr w:rsidR="005272D8" w:rsidRPr="004D3DC6" w:rsidTr="004D3DC6">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5272D8" w:rsidRPr="004D3DC6" w:rsidRDefault="005272D8"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Trust (scale 1-10)</w:t>
            </w:r>
          </w:p>
        </w:tc>
        <w:tc>
          <w:tcPr>
            <w:tcW w:w="983" w:type="dxa"/>
            <w:tcBorders>
              <w:top w:val="nil"/>
              <w:left w:val="nil"/>
              <w:bottom w:val="single" w:sz="4" w:space="0" w:color="auto"/>
              <w:right w:val="single" w:sz="4" w:space="0" w:color="auto"/>
            </w:tcBorders>
            <w:shd w:val="clear" w:color="auto" w:fill="auto"/>
            <w:vAlign w:val="center"/>
            <w:hideMark/>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0.06</w:t>
            </w:r>
          </w:p>
        </w:tc>
        <w:tc>
          <w:tcPr>
            <w:tcW w:w="992" w:type="dxa"/>
            <w:tcBorders>
              <w:top w:val="nil"/>
              <w:left w:val="nil"/>
              <w:bottom w:val="single" w:sz="4" w:space="0" w:color="auto"/>
              <w:right w:val="single" w:sz="8" w:space="0" w:color="auto"/>
            </w:tcBorders>
            <w:shd w:val="clear" w:color="auto" w:fill="auto"/>
            <w:vAlign w:val="center"/>
            <w:hideMark/>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993"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0.12</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0.20</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0.06</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993"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0.06</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w:t>
            </w:r>
            <w:r w:rsidR="003B0D40" w:rsidRPr="004D3DC6">
              <w:rPr>
                <w:rFonts w:ascii="Verdana" w:eastAsia="Times New Roman" w:hAnsi="Verdana" w:cs="Times New Roman"/>
                <w:color w:val="000000"/>
                <w:sz w:val="18"/>
                <w:szCs w:val="18"/>
              </w:rPr>
              <w:t>09</w:t>
            </w:r>
          </w:p>
        </w:tc>
        <w:tc>
          <w:tcPr>
            <w:tcW w:w="1047"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r>
      <w:tr w:rsidR="005272D8" w:rsidRPr="004D3DC6" w:rsidTr="004D3DC6">
        <w:trPr>
          <w:trHeight w:val="300"/>
          <w:jc w:val="center"/>
        </w:trPr>
        <w:tc>
          <w:tcPr>
            <w:tcW w:w="11047" w:type="dxa"/>
            <w:gridSpan w:val="9"/>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5272D8" w:rsidRPr="004D3DC6" w:rsidRDefault="005272D8" w:rsidP="0097447A">
            <w:pPr>
              <w:spacing w:after="0" w:line="276" w:lineRule="auto"/>
              <w:contextualSpacing/>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Society</w:t>
            </w:r>
          </w:p>
        </w:tc>
        <w:tc>
          <w:tcPr>
            <w:tcW w:w="992" w:type="dxa"/>
            <w:tcBorders>
              <w:top w:val="single" w:sz="4" w:space="0" w:color="auto"/>
              <w:left w:val="single" w:sz="8" w:space="0" w:color="auto"/>
              <w:bottom w:val="single" w:sz="4" w:space="0" w:color="auto"/>
              <w:right w:val="single" w:sz="8" w:space="0" w:color="000000"/>
            </w:tcBorders>
            <w:vAlign w:val="center"/>
          </w:tcPr>
          <w:p w:rsidR="005272D8" w:rsidRPr="004D3DC6" w:rsidRDefault="005272D8" w:rsidP="0097447A">
            <w:pPr>
              <w:spacing w:after="0" w:line="276" w:lineRule="auto"/>
              <w:contextualSpacing/>
              <w:rPr>
                <w:rFonts w:ascii="Verdana" w:eastAsia="Times New Roman" w:hAnsi="Verdana" w:cs="Times New Roman"/>
                <w:i/>
                <w:iCs/>
                <w:color w:val="000000"/>
                <w:sz w:val="18"/>
                <w:szCs w:val="18"/>
              </w:rPr>
            </w:pPr>
          </w:p>
        </w:tc>
        <w:tc>
          <w:tcPr>
            <w:tcW w:w="1047" w:type="dxa"/>
            <w:tcBorders>
              <w:top w:val="single" w:sz="4" w:space="0" w:color="auto"/>
              <w:left w:val="single" w:sz="8" w:space="0" w:color="auto"/>
              <w:bottom w:val="single" w:sz="4" w:space="0" w:color="auto"/>
              <w:right w:val="single" w:sz="8" w:space="0" w:color="000000"/>
            </w:tcBorders>
            <w:vAlign w:val="center"/>
          </w:tcPr>
          <w:p w:rsidR="005272D8" w:rsidRPr="004D3DC6" w:rsidRDefault="005272D8" w:rsidP="0097447A">
            <w:pPr>
              <w:spacing w:after="0" w:line="276" w:lineRule="auto"/>
              <w:contextualSpacing/>
              <w:rPr>
                <w:rFonts w:ascii="Verdana" w:eastAsia="Times New Roman" w:hAnsi="Verdana" w:cs="Times New Roman"/>
                <w:i/>
                <w:iCs/>
                <w:color w:val="000000"/>
                <w:sz w:val="18"/>
                <w:szCs w:val="18"/>
              </w:rPr>
            </w:pPr>
          </w:p>
        </w:tc>
      </w:tr>
      <w:tr w:rsidR="005272D8" w:rsidRPr="004D3DC6" w:rsidTr="004D3DC6">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5272D8" w:rsidRPr="004D3DC6" w:rsidRDefault="005272D8"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Employment (</w:t>
            </w:r>
            <w:r w:rsidR="006C4B63" w:rsidRPr="004D3DC6">
              <w:rPr>
                <w:rFonts w:ascii="Verdana" w:eastAsia="Times New Roman" w:hAnsi="Verdana" w:cs="Times New Roman"/>
                <w:color w:val="000000"/>
                <w:sz w:val="18"/>
                <w:szCs w:val="18"/>
              </w:rPr>
              <w:t>jobs</w:t>
            </w:r>
            <w:r w:rsidRPr="004D3DC6">
              <w:rPr>
                <w:rFonts w:ascii="Verdana" w:eastAsia="Times New Roman" w:hAnsi="Verdana" w:cs="Times New Roman"/>
                <w:color w:val="000000"/>
                <w:sz w:val="18"/>
                <w:szCs w:val="18"/>
              </w:rPr>
              <w:t>)</w:t>
            </w:r>
          </w:p>
        </w:tc>
        <w:tc>
          <w:tcPr>
            <w:tcW w:w="983" w:type="dxa"/>
            <w:tcBorders>
              <w:top w:val="nil"/>
              <w:left w:val="nil"/>
              <w:bottom w:val="single" w:sz="4" w:space="0" w:color="auto"/>
              <w:right w:val="single" w:sz="4" w:space="0" w:color="auto"/>
            </w:tcBorders>
            <w:shd w:val="clear" w:color="auto" w:fill="auto"/>
            <w:vAlign w:val="center"/>
            <w:hideMark/>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0.20</w:t>
            </w:r>
          </w:p>
        </w:tc>
        <w:tc>
          <w:tcPr>
            <w:tcW w:w="992" w:type="dxa"/>
            <w:tcBorders>
              <w:top w:val="nil"/>
              <w:left w:val="nil"/>
              <w:bottom w:val="single" w:sz="4" w:space="0" w:color="auto"/>
              <w:right w:val="single" w:sz="8" w:space="0" w:color="auto"/>
            </w:tcBorders>
            <w:shd w:val="clear" w:color="auto" w:fill="auto"/>
            <w:vAlign w:val="center"/>
            <w:hideMark/>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0.15</w:t>
            </w:r>
          </w:p>
        </w:tc>
        <w:tc>
          <w:tcPr>
            <w:tcW w:w="993"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0.08</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0.20</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0.15</w:t>
            </w:r>
          </w:p>
        </w:tc>
        <w:tc>
          <w:tcPr>
            <w:tcW w:w="993"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0.20</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0.15</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0.20</w:t>
            </w:r>
          </w:p>
        </w:tc>
        <w:tc>
          <w:tcPr>
            <w:tcW w:w="1047"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0.15</w:t>
            </w:r>
          </w:p>
        </w:tc>
      </w:tr>
      <w:tr w:rsidR="005272D8" w:rsidRPr="004D3DC6" w:rsidTr="004D3DC6">
        <w:trPr>
          <w:trHeight w:val="300"/>
          <w:jc w:val="center"/>
        </w:trPr>
        <w:tc>
          <w:tcPr>
            <w:tcW w:w="11047" w:type="dxa"/>
            <w:gridSpan w:val="9"/>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5272D8" w:rsidRPr="004D3DC6" w:rsidRDefault="006C4B63" w:rsidP="0097447A">
            <w:pPr>
              <w:spacing w:after="0" w:line="276" w:lineRule="auto"/>
              <w:contextualSpacing/>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Business</w:t>
            </w:r>
          </w:p>
        </w:tc>
        <w:tc>
          <w:tcPr>
            <w:tcW w:w="992" w:type="dxa"/>
            <w:tcBorders>
              <w:top w:val="single" w:sz="4" w:space="0" w:color="auto"/>
              <w:left w:val="single" w:sz="8" w:space="0" w:color="auto"/>
              <w:bottom w:val="single" w:sz="4" w:space="0" w:color="auto"/>
              <w:right w:val="single" w:sz="8" w:space="0" w:color="000000"/>
            </w:tcBorders>
            <w:vAlign w:val="center"/>
          </w:tcPr>
          <w:p w:rsidR="005272D8" w:rsidRPr="004D3DC6" w:rsidRDefault="005272D8" w:rsidP="0097447A">
            <w:pPr>
              <w:spacing w:after="0" w:line="276" w:lineRule="auto"/>
              <w:contextualSpacing/>
              <w:rPr>
                <w:rFonts w:ascii="Verdana" w:eastAsia="Times New Roman" w:hAnsi="Verdana" w:cs="Times New Roman"/>
                <w:i/>
                <w:iCs/>
                <w:color w:val="000000"/>
                <w:sz w:val="18"/>
                <w:szCs w:val="18"/>
              </w:rPr>
            </w:pPr>
          </w:p>
        </w:tc>
        <w:tc>
          <w:tcPr>
            <w:tcW w:w="1047" w:type="dxa"/>
            <w:tcBorders>
              <w:top w:val="single" w:sz="4" w:space="0" w:color="auto"/>
              <w:left w:val="single" w:sz="8" w:space="0" w:color="auto"/>
              <w:bottom w:val="single" w:sz="4" w:space="0" w:color="auto"/>
              <w:right w:val="single" w:sz="8" w:space="0" w:color="000000"/>
            </w:tcBorders>
            <w:vAlign w:val="center"/>
          </w:tcPr>
          <w:p w:rsidR="005272D8" w:rsidRPr="004D3DC6" w:rsidRDefault="005272D8" w:rsidP="0097447A">
            <w:pPr>
              <w:spacing w:after="0" w:line="276" w:lineRule="auto"/>
              <w:contextualSpacing/>
              <w:rPr>
                <w:rFonts w:ascii="Verdana" w:eastAsia="Times New Roman" w:hAnsi="Verdana" w:cs="Times New Roman"/>
                <w:i/>
                <w:iCs/>
                <w:color w:val="000000"/>
                <w:sz w:val="18"/>
                <w:szCs w:val="18"/>
              </w:rPr>
            </w:pPr>
          </w:p>
        </w:tc>
      </w:tr>
      <w:tr w:rsidR="005272D8" w:rsidRPr="004D3DC6" w:rsidTr="004D3DC6">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5272D8" w:rsidRPr="004D3DC6" w:rsidRDefault="005272D8"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Delay (days)</w:t>
            </w:r>
          </w:p>
        </w:tc>
        <w:tc>
          <w:tcPr>
            <w:tcW w:w="983" w:type="dxa"/>
            <w:tcBorders>
              <w:top w:val="nil"/>
              <w:left w:val="nil"/>
              <w:bottom w:val="single" w:sz="4" w:space="0" w:color="auto"/>
              <w:right w:val="single" w:sz="4" w:space="0" w:color="auto"/>
            </w:tcBorders>
            <w:shd w:val="clear" w:color="auto" w:fill="auto"/>
            <w:vAlign w:val="center"/>
            <w:hideMark/>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0.08</w:t>
            </w:r>
          </w:p>
        </w:tc>
        <w:tc>
          <w:tcPr>
            <w:tcW w:w="992" w:type="dxa"/>
            <w:tcBorders>
              <w:top w:val="nil"/>
              <w:left w:val="nil"/>
              <w:bottom w:val="single" w:sz="4" w:space="0" w:color="auto"/>
              <w:right w:val="single" w:sz="8" w:space="0" w:color="auto"/>
            </w:tcBorders>
            <w:shd w:val="clear" w:color="auto" w:fill="auto"/>
            <w:vAlign w:val="center"/>
            <w:hideMark/>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993"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0.08</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0.08</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993"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0.08</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0.08</w:t>
            </w:r>
          </w:p>
        </w:tc>
        <w:tc>
          <w:tcPr>
            <w:tcW w:w="1047"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r>
      <w:tr w:rsidR="005272D8" w:rsidRPr="004D3DC6" w:rsidTr="004D3DC6">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5272D8" w:rsidRPr="004D3DC6" w:rsidRDefault="005272D8"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Operation and financial (€)</w:t>
            </w:r>
          </w:p>
        </w:tc>
        <w:tc>
          <w:tcPr>
            <w:tcW w:w="983" w:type="dxa"/>
            <w:tcBorders>
              <w:top w:val="nil"/>
              <w:left w:val="nil"/>
              <w:bottom w:val="single" w:sz="4" w:space="0" w:color="auto"/>
              <w:right w:val="single" w:sz="4" w:space="0" w:color="auto"/>
            </w:tcBorders>
            <w:shd w:val="clear" w:color="auto" w:fill="auto"/>
            <w:vAlign w:val="center"/>
            <w:hideMark/>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0.08</w:t>
            </w:r>
          </w:p>
        </w:tc>
        <w:tc>
          <w:tcPr>
            <w:tcW w:w="992" w:type="dxa"/>
            <w:tcBorders>
              <w:top w:val="nil"/>
              <w:left w:val="nil"/>
              <w:bottom w:val="single" w:sz="4" w:space="0" w:color="auto"/>
              <w:right w:val="single" w:sz="8" w:space="0" w:color="auto"/>
            </w:tcBorders>
            <w:shd w:val="clear" w:color="auto" w:fill="auto"/>
            <w:vAlign w:val="center"/>
            <w:hideMark/>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993"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0.08</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0.08</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993"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0.09</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0.08</w:t>
            </w:r>
          </w:p>
        </w:tc>
        <w:tc>
          <w:tcPr>
            <w:tcW w:w="1047"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r>
      <w:tr w:rsidR="005272D8" w:rsidRPr="004D3DC6" w:rsidTr="004D3DC6">
        <w:trPr>
          <w:trHeight w:val="315"/>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5272D8" w:rsidRPr="004D3DC6" w:rsidRDefault="005272D8"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Enforcement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983" w:type="dxa"/>
            <w:tcBorders>
              <w:top w:val="nil"/>
              <w:left w:val="nil"/>
              <w:bottom w:val="single" w:sz="4" w:space="0" w:color="auto"/>
              <w:right w:val="single" w:sz="4" w:space="0" w:color="auto"/>
            </w:tcBorders>
            <w:shd w:val="clear" w:color="auto" w:fill="auto"/>
            <w:vAlign w:val="center"/>
            <w:hideMark/>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992" w:type="dxa"/>
            <w:tcBorders>
              <w:top w:val="nil"/>
              <w:left w:val="nil"/>
              <w:bottom w:val="single" w:sz="4" w:space="0" w:color="auto"/>
              <w:right w:val="single" w:sz="8" w:space="0" w:color="auto"/>
            </w:tcBorders>
            <w:shd w:val="clear" w:color="auto" w:fill="auto"/>
            <w:vAlign w:val="center"/>
            <w:hideMark/>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0.07</w:t>
            </w:r>
          </w:p>
        </w:tc>
        <w:tc>
          <w:tcPr>
            <w:tcW w:w="993"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0.07</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0.07</w:t>
            </w:r>
          </w:p>
        </w:tc>
        <w:tc>
          <w:tcPr>
            <w:tcW w:w="993"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0.07</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1047"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w:t>
            </w:r>
            <w:r w:rsidR="003B0D40" w:rsidRPr="004D3DC6">
              <w:rPr>
                <w:rFonts w:ascii="Verdana" w:eastAsia="Times New Roman" w:hAnsi="Verdana" w:cs="Times New Roman"/>
                <w:color w:val="000000"/>
                <w:sz w:val="18"/>
                <w:szCs w:val="18"/>
              </w:rPr>
              <w:t>07</w:t>
            </w:r>
          </w:p>
        </w:tc>
      </w:tr>
      <w:tr w:rsidR="005272D8" w:rsidRPr="004D3DC6" w:rsidTr="004D3DC6">
        <w:trPr>
          <w:trHeight w:val="315"/>
          <w:jc w:val="center"/>
        </w:trPr>
        <w:tc>
          <w:tcPr>
            <w:tcW w:w="13086" w:type="dxa"/>
            <w:gridSpan w:val="11"/>
            <w:tcBorders>
              <w:top w:val="single" w:sz="8" w:space="0" w:color="auto"/>
              <w:left w:val="single" w:sz="8" w:space="0" w:color="auto"/>
              <w:bottom w:val="single" w:sz="8" w:space="0" w:color="auto"/>
              <w:right w:val="single" w:sz="8" w:space="0" w:color="000000"/>
            </w:tcBorders>
            <w:shd w:val="clear" w:color="000000" w:fill="D9D9D9"/>
            <w:vAlign w:val="center"/>
            <w:hideMark/>
          </w:tcPr>
          <w:p w:rsidR="005272D8" w:rsidRPr="00D84DC9" w:rsidRDefault="005272D8" w:rsidP="0097447A">
            <w:pPr>
              <w:spacing w:after="0" w:line="276" w:lineRule="auto"/>
              <w:contextualSpacing/>
              <w:rPr>
                <w:rFonts w:ascii="Verdana" w:eastAsia="Times New Roman" w:hAnsi="Verdana" w:cs="Times New Roman"/>
                <w:b/>
                <w:bCs/>
                <w:color w:val="000000"/>
                <w:sz w:val="18"/>
                <w:szCs w:val="18"/>
              </w:rPr>
            </w:pPr>
            <w:r w:rsidRPr="00D84DC9">
              <w:rPr>
                <w:rFonts w:ascii="Verdana" w:eastAsia="Times New Roman" w:hAnsi="Verdana" w:cs="Times New Roman"/>
                <w:b/>
                <w:bCs/>
                <w:color w:val="000000"/>
                <w:sz w:val="18"/>
                <w:szCs w:val="18"/>
              </w:rPr>
              <w:t>Costs</w:t>
            </w:r>
          </w:p>
        </w:tc>
      </w:tr>
      <w:tr w:rsidR="005272D8" w:rsidRPr="004D3DC6" w:rsidTr="004D3DC6">
        <w:trPr>
          <w:trHeight w:val="300"/>
          <w:jc w:val="center"/>
        </w:trPr>
        <w:tc>
          <w:tcPr>
            <w:tcW w:w="11047" w:type="dxa"/>
            <w:gridSpan w:val="9"/>
            <w:tcBorders>
              <w:top w:val="nil"/>
              <w:left w:val="single" w:sz="8" w:space="0" w:color="auto"/>
              <w:bottom w:val="single" w:sz="4" w:space="0" w:color="auto"/>
              <w:right w:val="single" w:sz="8" w:space="0" w:color="000000"/>
            </w:tcBorders>
            <w:shd w:val="clear" w:color="auto" w:fill="auto"/>
            <w:vAlign w:val="center"/>
            <w:hideMark/>
          </w:tcPr>
          <w:p w:rsidR="005272D8" w:rsidRPr="004D3DC6" w:rsidRDefault="005272D8" w:rsidP="0097447A">
            <w:pPr>
              <w:spacing w:after="0" w:line="276" w:lineRule="auto"/>
              <w:contextualSpacing/>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Business</w:t>
            </w:r>
          </w:p>
        </w:tc>
        <w:tc>
          <w:tcPr>
            <w:tcW w:w="992" w:type="dxa"/>
            <w:tcBorders>
              <w:top w:val="nil"/>
              <w:left w:val="single" w:sz="8" w:space="0" w:color="auto"/>
              <w:bottom w:val="single" w:sz="4" w:space="0" w:color="auto"/>
              <w:right w:val="single" w:sz="8" w:space="0" w:color="000000"/>
            </w:tcBorders>
            <w:vAlign w:val="center"/>
          </w:tcPr>
          <w:p w:rsidR="005272D8" w:rsidRPr="004D3DC6" w:rsidRDefault="005272D8" w:rsidP="0097447A">
            <w:pPr>
              <w:spacing w:after="0" w:line="276" w:lineRule="auto"/>
              <w:contextualSpacing/>
              <w:rPr>
                <w:rFonts w:ascii="Verdana" w:eastAsia="Times New Roman" w:hAnsi="Verdana" w:cs="Times New Roman"/>
                <w:i/>
                <w:iCs/>
                <w:color w:val="000000"/>
                <w:sz w:val="18"/>
                <w:szCs w:val="18"/>
              </w:rPr>
            </w:pPr>
          </w:p>
        </w:tc>
        <w:tc>
          <w:tcPr>
            <w:tcW w:w="1047" w:type="dxa"/>
            <w:tcBorders>
              <w:top w:val="nil"/>
              <w:left w:val="single" w:sz="8" w:space="0" w:color="auto"/>
              <w:bottom w:val="single" w:sz="4" w:space="0" w:color="auto"/>
              <w:right w:val="single" w:sz="8" w:space="0" w:color="000000"/>
            </w:tcBorders>
            <w:vAlign w:val="center"/>
          </w:tcPr>
          <w:p w:rsidR="005272D8" w:rsidRPr="004D3DC6" w:rsidRDefault="005272D8" w:rsidP="0097447A">
            <w:pPr>
              <w:spacing w:after="0" w:line="276" w:lineRule="auto"/>
              <w:contextualSpacing/>
              <w:rPr>
                <w:rFonts w:ascii="Verdana" w:eastAsia="Times New Roman" w:hAnsi="Verdana" w:cs="Times New Roman"/>
                <w:i/>
                <w:iCs/>
                <w:color w:val="000000"/>
                <w:sz w:val="18"/>
                <w:szCs w:val="18"/>
              </w:rPr>
            </w:pPr>
          </w:p>
        </w:tc>
      </w:tr>
      <w:tr w:rsidR="005272D8" w:rsidRPr="004D3DC6" w:rsidTr="004D3DC6">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5272D8" w:rsidRPr="004D3DC6" w:rsidRDefault="005272D8"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Administrative burden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983" w:type="dxa"/>
            <w:tcBorders>
              <w:top w:val="nil"/>
              <w:left w:val="nil"/>
              <w:bottom w:val="single" w:sz="4" w:space="0" w:color="auto"/>
              <w:right w:val="single" w:sz="4" w:space="0" w:color="auto"/>
            </w:tcBorders>
            <w:shd w:val="clear" w:color="auto" w:fill="auto"/>
            <w:vAlign w:val="center"/>
            <w:hideMark/>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992" w:type="dxa"/>
            <w:tcBorders>
              <w:top w:val="nil"/>
              <w:left w:val="nil"/>
              <w:bottom w:val="single" w:sz="4" w:space="0" w:color="auto"/>
              <w:right w:val="single" w:sz="8" w:space="0" w:color="auto"/>
            </w:tcBorders>
            <w:shd w:val="clear" w:color="auto" w:fill="auto"/>
            <w:vAlign w:val="center"/>
            <w:hideMark/>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0.06</w:t>
            </w:r>
          </w:p>
        </w:tc>
        <w:tc>
          <w:tcPr>
            <w:tcW w:w="993"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0.06</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993"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0.05</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1047"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w:t>
            </w:r>
            <w:r w:rsidR="003B0D40" w:rsidRPr="004D3DC6">
              <w:rPr>
                <w:rFonts w:ascii="Verdana" w:eastAsia="Times New Roman" w:hAnsi="Verdana" w:cs="Times New Roman"/>
                <w:color w:val="000000"/>
                <w:sz w:val="18"/>
                <w:szCs w:val="18"/>
              </w:rPr>
              <w:t>6</w:t>
            </w:r>
          </w:p>
        </w:tc>
      </w:tr>
      <w:tr w:rsidR="005272D8" w:rsidRPr="004D3DC6" w:rsidTr="004D3DC6">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5272D8" w:rsidRPr="004D3DC6" w:rsidRDefault="005272D8"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Operation and financial (€)</w:t>
            </w:r>
          </w:p>
        </w:tc>
        <w:tc>
          <w:tcPr>
            <w:tcW w:w="983" w:type="dxa"/>
            <w:tcBorders>
              <w:top w:val="nil"/>
              <w:left w:val="nil"/>
              <w:bottom w:val="single" w:sz="4" w:space="0" w:color="auto"/>
              <w:right w:val="single" w:sz="4" w:space="0" w:color="auto"/>
            </w:tcBorders>
            <w:shd w:val="clear" w:color="auto" w:fill="auto"/>
            <w:vAlign w:val="center"/>
            <w:hideMark/>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992" w:type="dxa"/>
            <w:tcBorders>
              <w:top w:val="nil"/>
              <w:left w:val="nil"/>
              <w:bottom w:val="single" w:sz="4" w:space="0" w:color="auto"/>
              <w:right w:val="single" w:sz="8" w:space="0" w:color="auto"/>
            </w:tcBorders>
            <w:shd w:val="clear" w:color="auto" w:fill="auto"/>
            <w:vAlign w:val="center"/>
            <w:hideMark/>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993"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993"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1047"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r>
      <w:tr w:rsidR="005272D8" w:rsidRPr="004D3DC6" w:rsidTr="004D3DC6">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5272D8" w:rsidRPr="004D3DC6" w:rsidRDefault="005272D8"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Enforcement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983" w:type="dxa"/>
            <w:tcBorders>
              <w:top w:val="nil"/>
              <w:left w:val="nil"/>
              <w:bottom w:val="single" w:sz="4" w:space="0" w:color="auto"/>
              <w:right w:val="single" w:sz="4" w:space="0" w:color="auto"/>
            </w:tcBorders>
            <w:shd w:val="clear" w:color="auto" w:fill="auto"/>
            <w:vAlign w:val="center"/>
            <w:hideMark/>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992" w:type="dxa"/>
            <w:tcBorders>
              <w:top w:val="nil"/>
              <w:left w:val="nil"/>
              <w:bottom w:val="single" w:sz="4" w:space="0" w:color="auto"/>
              <w:right w:val="single" w:sz="8" w:space="0" w:color="auto"/>
            </w:tcBorders>
            <w:shd w:val="clear" w:color="auto" w:fill="auto"/>
            <w:vAlign w:val="center"/>
            <w:hideMark/>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0.09</w:t>
            </w:r>
          </w:p>
        </w:tc>
        <w:tc>
          <w:tcPr>
            <w:tcW w:w="993"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0.09</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0.09</w:t>
            </w:r>
          </w:p>
        </w:tc>
        <w:tc>
          <w:tcPr>
            <w:tcW w:w="993"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0.09</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1047"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w:t>
            </w:r>
            <w:r w:rsidR="003B0D40" w:rsidRPr="004D3DC6">
              <w:rPr>
                <w:rFonts w:ascii="Verdana" w:eastAsia="Times New Roman" w:hAnsi="Verdana" w:cs="Times New Roman"/>
                <w:color w:val="000000"/>
                <w:sz w:val="18"/>
                <w:szCs w:val="18"/>
              </w:rPr>
              <w:t>.09</w:t>
            </w:r>
          </w:p>
        </w:tc>
      </w:tr>
      <w:tr w:rsidR="005272D8" w:rsidRPr="004D3DC6" w:rsidTr="004D3DC6">
        <w:trPr>
          <w:trHeight w:val="300"/>
          <w:jc w:val="center"/>
        </w:trPr>
        <w:tc>
          <w:tcPr>
            <w:tcW w:w="11047" w:type="dxa"/>
            <w:gridSpan w:val="9"/>
            <w:tcBorders>
              <w:top w:val="single" w:sz="4" w:space="0" w:color="auto"/>
              <w:left w:val="single" w:sz="8" w:space="0" w:color="auto"/>
              <w:bottom w:val="single" w:sz="4" w:space="0" w:color="auto"/>
              <w:right w:val="single" w:sz="8" w:space="0" w:color="000000"/>
            </w:tcBorders>
            <w:shd w:val="clear" w:color="auto" w:fill="auto"/>
            <w:vAlign w:val="center"/>
            <w:hideMark/>
          </w:tcPr>
          <w:p w:rsidR="005272D8" w:rsidRPr="004D3DC6" w:rsidRDefault="005272D8" w:rsidP="0097447A">
            <w:pPr>
              <w:spacing w:after="0" w:line="276" w:lineRule="auto"/>
              <w:contextualSpacing/>
              <w:rPr>
                <w:rFonts w:ascii="Verdana" w:eastAsia="Times New Roman" w:hAnsi="Verdana" w:cs="Times New Roman"/>
                <w:i/>
                <w:iCs/>
                <w:color w:val="000000"/>
                <w:sz w:val="18"/>
                <w:szCs w:val="18"/>
              </w:rPr>
            </w:pPr>
            <w:r w:rsidRPr="004D3DC6">
              <w:rPr>
                <w:rFonts w:ascii="Verdana" w:eastAsia="Times New Roman" w:hAnsi="Verdana" w:cs="Times New Roman"/>
                <w:i/>
                <w:iCs/>
                <w:color w:val="000000"/>
                <w:sz w:val="18"/>
                <w:szCs w:val="18"/>
              </w:rPr>
              <w:t>Institutions</w:t>
            </w:r>
          </w:p>
        </w:tc>
        <w:tc>
          <w:tcPr>
            <w:tcW w:w="992" w:type="dxa"/>
            <w:tcBorders>
              <w:top w:val="single" w:sz="4" w:space="0" w:color="auto"/>
              <w:left w:val="single" w:sz="8" w:space="0" w:color="auto"/>
              <w:bottom w:val="single" w:sz="4" w:space="0" w:color="auto"/>
              <w:right w:val="single" w:sz="8" w:space="0" w:color="000000"/>
            </w:tcBorders>
            <w:vAlign w:val="center"/>
          </w:tcPr>
          <w:p w:rsidR="005272D8" w:rsidRPr="004D3DC6" w:rsidRDefault="005272D8" w:rsidP="0097447A">
            <w:pPr>
              <w:spacing w:after="0" w:line="276" w:lineRule="auto"/>
              <w:contextualSpacing/>
              <w:rPr>
                <w:rFonts w:ascii="Verdana" w:eastAsia="Times New Roman" w:hAnsi="Verdana" w:cs="Times New Roman"/>
                <w:i/>
                <w:iCs/>
                <w:color w:val="000000"/>
                <w:sz w:val="18"/>
                <w:szCs w:val="18"/>
              </w:rPr>
            </w:pPr>
          </w:p>
        </w:tc>
        <w:tc>
          <w:tcPr>
            <w:tcW w:w="1047" w:type="dxa"/>
            <w:tcBorders>
              <w:top w:val="single" w:sz="4" w:space="0" w:color="auto"/>
              <w:left w:val="single" w:sz="8" w:space="0" w:color="auto"/>
              <w:bottom w:val="single" w:sz="4" w:space="0" w:color="auto"/>
              <w:right w:val="single" w:sz="8" w:space="0" w:color="000000"/>
            </w:tcBorders>
            <w:vAlign w:val="center"/>
          </w:tcPr>
          <w:p w:rsidR="005272D8" w:rsidRPr="004D3DC6" w:rsidRDefault="005272D8" w:rsidP="0097447A">
            <w:pPr>
              <w:spacing w:after="0" w:line="276" w:lineRule="auto"/>
              <w:contextualSpacing/>
              <w:rPr>
                <w:rFonts w:ascii="Verdana" w:eastAsia="Times New Roman" w:hAnsi="Verdana" w:cs="Times New Roman"/>
                <w:i/>
                <w:iCs/>
                <w:color w:val="000000"/>
                <w:sz w:val="18"/>
                <w:szCs w:val="18"/>
              </w:rPr>
            </w:pPr>
          </w:p>
        </w:tc>
      </w:tr>
      <w:tr w:rsidR="005272D8" w:rsidRPr="004D3DC6" w:rsidTr="004D3DC6">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5272D8" w:rsidRPr="004D3DC6" w:rsidRDefault="005272D8"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Administrative burden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983" w:type="dxa"/>
            <w:tcBorders>
              <w:top w:val="nil"/>
              <w:left w:val="nil"/>
              <w:bottom w:val="single" w:sz="4" w:space="0" w:color="auto"/>
              <w:right w:val="single" w:sz="4" w:space="0" w:color="auto"/>
            </w:tcBorders>
            <w:shd w:val="clear" w:color="auto" w:fill="auto"/>
            <w:vAlign w:val="center"/>
            <w:hideMark/>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992" w:type="dxa"/>
            <w:tcBorders>
              <w:top w:val="nil"/>
              <w:left w:val="nil"/>
              <w:bottom w:val="single" w:sz="4" w:space="0" w:color="auto"/>
              <w:right w:val="single" w:sz="8" w:space="0" w:color="auto"/>
            </w:tcBorders>
            <w:shd w:val="clear" w:color="auto" w:fill="auto"/>
            <w:vAlign w:val="center"/>
            <w:hideMark/>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993"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993"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1047"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0.00</w:t>
            </w:r>
          </w:p>
        </w:tc>
      </w:tr>
      <w:tr w:rsidR="005272D8" w:rsidRPr="004D3DC6" w:rsidTr="004D3DC6">
        <w:trPr>
          <w:trHeight w:val="300"/>
          <w:jc w:val="center"/>
        </w:trPr>
        <w:tc>
          <w:tcPr>
            <w:tcW w:w="3118" w:type="dxa"/>
            <w:tcBorders>
              <w:top w:val="nil"/>
              <w:left w:val="single" w:sz="8" w:space="0" w:color="auto"/>
              <w:bottom w:val="single" w:sz="4" w:space="0" w:color="auto"/>
              <w:right w:val="single" w:sz="4" w:space="0" w:color="auto"/>
            </w:tcBorders>
            <w:shd w:val="clear" w:color="auto" w:fill="auto"/>
            <w:vAlign w:val="center"/>
            <w:hideMark/>
          </w:tcPr>
          <w:p w:rsidR="005272D8" w:rsidRPr="004D3DC6" w:rsidRDefault="005272D8"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Operation and financial (€)</w:t>
            </w:r>
          </w:p>
        </w:tc>
        <w:tc>
          <w:tcPr>
            <w:tcW w:w="983" w:type="dxa"/>
            <w:tcBorders>
              <w:top w:val="nil"/>
              <w:left w:val="nil"/>
              <w:bottom w:val="single" w:sz="4" w:space="0" w:color="auto"/>
              <w:right w:val="single" w:sz="4" w:space="0" w:color="auto"/>
            </w:tcBorders>
            <w:shd w:val="clear" w:color="auto" w:fill="auto"/>
            <w:vAlign w:val="center"/>
            <w:hideMark/>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992" w:type="dxa"/>
            <w:tcBorders>
              <w:top w:val="nil"/>
              <w:left w:val="nil"/>
              <w:bottom w:val="single" w:sz="4" w:space="0" w:color="auto"/>
              <w:right w:val="single" w:sz="8" w:space="0" w:color="auto"/>
            </w:tcBorders>
            <w:shd w:val="clear" w:color="auto" w:fill="auto"/>
            <w:vAlign w:val="center"/>
            <w:hideMark/>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0.05</w:t>
            </w:r>
          </w:p>
        </w:tc>
        <w:tc>
          <w:tcPr>
            <w:tcW w:w="993"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0.05</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0.05</w:t>
            </w:r>
          </w:p>
        </w:tc>
        <w:tc>
          <w:tcPr>
            <w:tcW w:w="993"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0.03</w:t>
            </w:r>
          </w:p>
        </w:tc>
        <w:tc>
          <w:tcPr>
            <w:tcW w:w="992"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1047" w:type="dxa"/>
            <w:tcBorders>
              <w:top w:val="nil"/>
              <w:left w:val="nil"/>
              <w:bottom w:val="single" w:sz="4"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0.05</w:t>
            </w:r>
          </w:p>
        </w:tc>
      </w:tr>
      <w:tr w:rsidR="005272D8" w:rsidRPr="004D3DC6" w:rsidTr="004D3DC6">
        <w:trPr>
          <w:trHeight w:val="315"/>
          <w:jc w:val="center"/>
        </w:trPr>
        <w:tc>
          <w:tcPr>
            <w:tcW w:w="3118" w:type="dxa"/>
            <w:tcBorders>
              <w:top w:val="nil"/>
              <w:left w:val="single" w:sz="8" w:space="0" w:color="auto"/>
              <w:bottom w:val="single" w:sz="18" w:space="0" w:color="auto"/>
              <w:right w:val="single" w:sz="4" w:space="0" w:color="auto"/>
            </w:tcBorders>
            <w:shd w:val="clear" w:color="auto" w:fill="auto"/>
            <w:vAlign w:val="center"/>
            <w:hideMark/>
          </w:tcPr>
          <w:p w:rsidR="005272D8" w:rsidRPr="004D3DC6" w:rsidRDefault="005272D8" w:rsidP="0097447A">
            <w:pPr>
              <w:spacing w:after="0" w:line="276" w:lineRule="auto"/>
              <w:ind w:firstLineChars="100" w:firstLine="180"/>
              <w:contextualSpacing/>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Enforcement (</w:t>
            </w:r>
            <w:r w:rsidR="006C4B63" w:rsidRPr="004D3DC6">
              <w:rPr>
                <w:rFonts w:ascii="Verdana" w:eastAsia="Times New Roman" w:hAnsi="Verdana" w:cs="Times New Roman"/>
                <w:color w:val="000000"/>
                <w:sz w:val="18"/>
                <w:szCs w:val="18"/>
              </w:rPr>
              <w:t>€</w:t>
            </w:r>
            <w:r w:rsidRPr="004D3DC6">
              <w:rPr>
                <w:rFonts w:ascii="Verdana" w:eastAsia="Times New Roman" w:hAnsi="Verdana" w:cs="Times New Roman"/>
                <w:color w:val="000000"/>
                <w:sz w:val="18"/>
                <w:szCs w:val="18"/>
              </w:rPr>
              <w:t>)</w:t>
            </w:r>
          </w:p>
        </w:tc>
        <w:tc>
          <w:tcPr>
            <w:tcW w:w="983" w:type="dxa"/>
            <w:tcBorders>
              <w:top w:val="nil"/>
              <w:left w:val="nil"/>
              <w:bottom w:val="single" w:sz="18" w:space="0" w:color="auto"/>
              <w:right w:val="single" w:sz="4" w:space="0" w:color="auto"/>
            </w:tcBorders>
            <w:shd w:val="clear" w:color="auto" w:fill="auto"/>
            <w:vAlign w:val="center"/>
            <w:hideMark/>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0.01</w:t>
            </w:r>
          </w:p>
        </w:tc>
        <w:tc>
          <w:tcPr>
            <w:tcW w:w="992" w:type="dxa"/>
            <w:tcBorders>
              <w:top w:val="nil"/>
              <w:left w:val="nil"/>
              <w:bottom w:val="single" w:sz="18" w:space="0" w:color="auto"/>
              <w:right w:val="single" w:sz="8" w:space="0" w:color="auto"/>
            </w:tcBorders>
            <w:shd w:val="clear" w:color="auto" w:fill="auto"/>
            <w:vAlign w:val="center"/>
            <w:hideMark/>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993" w:type="dxa"/>
            <w:tcBorders>
              <w:top w:val="nil"/>
              <w:left w:val="nil"/>
              <w:bottom w:val="single" w:sz="18"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w:t>
            </w:r>
          </w:p>
        </w:tc>
        <w:tc>
          <w:tcPr>
            <w:tcW w:w="992" w:type="dxa"/>
            <w:tcBorders>
              <w:top w:val="nil"/>
              <w:left w:val="nil"/>
              <w:bottom w:val="single" w:sz="18"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992" w:type="dxa"/>
            <w:tcBorders>
              <w:top w:val="nil"/>
              <w:left w:val="nil"/>
              <w:bottom w:val="single" w:sz="18"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0.01</w:t>
            </w:r>
          </w:p>
        </w:tc>
        <w:tc>
          <w:tcPr>
            <w:tcW w:w="992" w:type="dxa"/>
            <w:tcBorders>
              <w:top w:val="nil"/>
              <w:left w:val="nil"/>
              <w:bottom w:val="single" w:sz="18"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993" w:type="dxa"/>
            <w:tcBorders>
              <w:top w:val="nil"/>
              <w:left w:val="nil"/>
              <w:bottom w:val="single" w:sz="18"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0.01</w:t>
            </w:r>
          </w:p>
        </w:tc>
        <w:tc>
          <w:tcPr>
            <w:tcW w:w="992" w:type="dxa"/>
            <w:tcBorders>
              <w:top w:val="nil"/>
              <w:left w:val="nil"/>
              <w:bottom w:val="single" w:sz="18"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c>
          <w:tcPr>
            <w:tcW w:w="992" w:type="dxa"/>
            <w:tcBorders>
              <w:top w:val="nil"/>
              <w:left w:val="nil"/>
              <w:bottom w:val="single" w:sz="18" w:space="0" w:color="auto"/>
              <w:right w:val="single" w:sz="8" w:space="0" w:color="auto"/>
            </w:tcBorders>
            <w:vAlign w:val="center"/>
          </w:tcPr>
          <w:p w:rsidR="005272D8" w:rsidRPr="004D3DC6" w:rsidRDefault="003B0D40"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0.01</w:t>
            </w:r>
          </w:p>
        </w:tc>
        <w:tc>
          <w:tcPr>
            <w:tcW w:w="1047" w:type="dxa"/>
            <w:tcBorders>
              <w:top w:val="nil"/>
              <w:left w:val="nil"/>
              <w:bottom w:val="single" w:sz="18"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color w:val="000000"/>
                <w:sz w:val="18"/>
                <w:szCs w:val="18"/>
              </w:rPr>
            </w:pPr>
            <w:r w:rsidRPr="004D3DC6">
              <w:rPr>
                <w:rFonts w:ascii="Verdana" w:eastAsia="Times New Roman" w:hAnsi="Verdana" w:cs="Times New Roman"/>
                <w:color w:val="000000"/>
                <w:sz w:val="18"/>
                <w:szCs w:val="18"/>
              </w:rPr>
              <w:t>0.10</w:t>
            </w:r>
          </w:p>
        </w:tc>
      </w:tr>
      <w:tr w:rsidR="005272D8" w:rsidRPr="004D3DC6" w:rsidTr="004D3DC6">
        <w:trPr>
          <w:trHeight w:val="315"/>
          <w:jc w:val="center"/>
        </w:trPr>
        <w:tc>
          <w:tcPr>
            <w:tcW w:w="3118" w:type="dxa"/>
            <w:tcBorders>
              <w:top w:val="single" w:sz="18" w:space="0" w:color="auto"/>
              <w:left w:val="single" w:sz="18" w:space="0" w:color="auto"/>
              <w:bottom w:val="single" w:sz="18" w:space="0" w:color="auto"/>
              <w:right w:val="single" w:sz="18" w:space="0" w:color="auto"/>
            </w:tcBorders>
            <w:shd w:val="clear" w:color="auto" w:fill="auto"/>
            <w:vAlign w:val="center"/>
            <w:hideMark/>
          </w:tcPr>
          <w:p w:rsidR="005272D8" w:rsidRPr="004D3DC6" w:rsidRDefault="005272D8" w:rsidP="0097447A">
            <w:pPr>
              <w:spacing w:after="0" w:line="276" w:lineRule="auto"/>
              <w:ind w:firstLineChars="100" w:firstLine="181"/>
              <w:contextualSpacing/>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Total</w:t>
            </w:r>
          </w:p>
        </w:tc>
        <w:tc>
          <w:tcPr>
            <w:tcW w:w="983" w:type="dxa"/>
            <w:tcBorders>
              <w:top w:val="single" w:sz="18" w:space="0" w:color="auto"/>
              <w:left w:val="single" w:sz="18" w:space="0" w:color="auto"/>
              <w:bottom w:val="single" w:sz="18" w:space="0" w:color="auto"/>
              <w:right w:val="single" w:sz="4" w:space="0" w:color="auto"/>
            </w:tcBorders>
            <w:shd w:val="clear" w:color="auto" w:fill="auto"/>
            <w:noWrap/>
            <w:vAlign w:val="center"/>
            <w:hideMark/>
          </w:tcPr>
          <w:p w:rsidR="005272D8" w:rsidRPr="004D3DC6" w:rsidRDefault="005272D8"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0.10</w:t>
            </w:r>
          </w:p>
        </w:tc>
        <w:tc>
          <w:tcPr>
            <w:tcW w:w="992" w:type="dxa"/>
            <w:tcBorders>
              <w:top w:val="single" w:sz="18" w:space="0" w:color="auto"/>
              <w:left w:val="nil"/>
              <w:bottom w:val="single" w:sz="18" w:space="0" w:color="auto"/>
              <w:right w:val="single" w:sz="18" w:space="0" w:color="auto"/>
            </w:tcBorders>
            <w:shd w:val="clear" w:color="auto" w:fill="auto"/>
            <w:noWrap/>
            <w:vAlign w:val="center"/>
            <w:hideMark/>
          </w:tcPr>
          <w:p w:rsidR="005272D8" w:rsidRPr="004D3DC6" w:rsidRDefault="005272D8"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0.12</w:t>
            </w:r>
          </w:p>
        </w:tc>
        <w:tc>
          <w:tcPr>
            <w:tcW w:w="993" w:type="dxa"/>
            <w:tcBorders>
              <w:top w:val="single" w:sz="18" w:space="0" w:color="auto"/>
              <w:left w:val="single" w:sz="18" w:space="0" w:color="auto"/>
              <w:bottom w:val="single" w:sz="18"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0.06</w:t>
            </w:r>
          </w:p>
        </w:tc>
        <w:tc>
          <w:tcPr>
            <w:tcW w:w="992" w:type="dxa"/>
            <w:tcBorders>
              <w:top w:val="single" w:sz="18" w:space="0" w:color="auto"/>
              <w:left w:val="single" w:sz="8" w:space="0" w:color="auto"/>
              <w:bottom w:val="single" w:sz="18" w:space="0" w:color="auto"/>
              <w:right w:val="single" w:sz="1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0.15</w:t>
            </w:r>
          </w:p>
        </w:tc>
        <w:tc>
          <w:tcPr>
            <w:tcW w:w="992" w:type="dxa"/>
            <w:tcBorders>
              <w:top w:val="single" w:sz="18" w:space="0" w:color="auto"/>
              <w:left w:val="single" w:sz="18" w:space="0" w:color="auto"/>
              <w:bottom w:val="single" w:sz="18"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0.11</w:t>
            </w:r>
          </w:p>
        </w:tc>
        <w:tc>
          <w:tcPr>
            <w:tcW w:w="992" w:type="dxa"/>
            <w:tcBorders>
              <w:top w:val="single" w:sz="18" w:space="0" w:color="auto"/>
              <w:left w:val="single" w:sz="8" w:space="0" w:color="auto"/>
              <w:bottom w:val="single" w:sz="18" w:space="0" w:color="auto"/>
              <w:right w:val="single" w:sz="1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0.08</w:t>
            </w:r>
          </w:p>
        </w:tc>
        <w:tc>
          <w:tcPr>
            <w:tcW w:w="993" w:type="dxa"/>
            <w:tcBorders>
              <w:top w:val="single" w:sz="18" w:space="0" w:color="auto"/>
              <w:left w:val="single" w:sz="18" w:space="0" w:color="auto"/>
              <w:bottom w:val="single" w:sz="18" w:space="0" w:color="auto"/>
              <w:right w:val="single" w:sz="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0.11</w:t>
            </w:r>
          </w:p>
        </w:tc>
        <w:tc>
          <w:tcPr>
            <w:tcW w:w="992" w:type="dxa"/>
            <w:tcBorders>
              <w:top w:val="single" w:sz="18" w:space="0" w:color="auto"/>
              <w:left w:val="single" w:sz="8" w:space="0" w:color="auto"/>
              <w:bottom w:val="single" w:sz="18" w:space="0" w:color="auto"/>
              <w:right w:val="single" w:sz="1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0.14</w:t>
            </w:r>
          </w:p>
        </w:tc>
        <w:tc>
          <w:tcPr>
            <w:tcW w:w="992" w:type="dxa"/>
            <w:tcBorders>
              <w:top w:val="single" w:sz="18" w:space="0" w:color="auto"/>
              <w:left w:val="single" w:sz="8" w:space="0" w:color="auto"/>
              <w:bottom w:val="single" w:sz="18" w:space="0" w:color="auto"/>
              <w:right w:val="single" w:sz="8" w:space="0" w:color="auto"/>
            </w:tcBorders>
            <w:vAlign w:val="center"/>
          </w:tcPr>
          <w:p w:rsidR="005272D8" w:rsidRPr="004D3DC6" w:rsidRDefault="003B0D40"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0.13</w:t>
            </w:r>
          </w:p>
        </w:tc>
        <w:tc>
          <w:tcPr>
            <w:tcW w:w="1047" w:type="dxa"/>
            <w:tcBorders>
              <w:top w:val="single" w:sz="18" w:space="0" w:color="auto"/>
              <w:left w:val="single" w:sz="8" w:space="0" w:color="auto"/>
              <w:bottom w:val="single" w:sz="18" w:space="0" w:color="auto"/>
              <w:right w:val="single" w:sz="18" w:space="0" w:color="auto"/>
            </w:tcBorders>
            <w:vAlign w:val="center"/>
          </w:tcPr>
          <w:p w:rsidR="005272D8" w:rsidRPr="004D3DC6" w:rsidRDefault="005272D8" w:rsidP="0097447A">
            <w:pPr>
              <w:spacing w:after="0" w:line="276" w:lineRule="auto"/>
              <w:contextualSpacing/>
              <w:jc w:val="center"/>
              <w:rPr>
                <w:rFonts w:ascii="Verdana" w:eastAsia="Times New Roman" w:hAnsi="Verdana" w:cs="Times New Roman"/>
                <w:b/>
                <w:bCs/>
                <w:color w:val="000000"/>
                <w:sz w:val="18"/>
                <w:szCs w:val="18"/>
              </w:rPr>
            </w:pPr>
            <w:r w:rsidRPr="004D3DC6">
              <w:rPr>
                <w:rFonts w:ascii="Verdana" w:eastAsia="Times New Roman" w:hAnsi="Verdana" w:cs="Times New Roman"/>
                <w:b/>
                <w:bCs/>
                <w:color w:val="000000"/>
                <w:sz w:val="18"/>
                <w:szCs w:val="18"/>
              </w:rPr>
              <w:t>0</w:t>
            </w:r>
            <w:r w:rsidR="003B0D40" w:rsidRPr="004D3DC6">
              <w:rPr>
                <w:rFonts w:ascii="Verdana" w:eastAsia="Times New Roman" w:hAnsi="Verdana" w:cs="Times New Roman"/>
                <w:b/>
                <w:bCs/>
                <w:color w:val="000000"/>
                <w:sz w:val="18"/>
                <w:szCs w:val="18"/>
              </w:rPr>
              <w:t>.12</w:t>
            </w:r>
          </w:p>
        </w:tc>
      </w:tr>
    </w:tbl>
    <w:p w:rsidR="00350830" w:rsidRPr="004D3DC6" w:rsidRDefault="00350830" w:rsidP="0097447A">
      <w:pPr>
        <w:spacing w:after="0" w:line="276" w:lineRule="auto"/>
        <w:contextualSpacing/>
        <w:rPr>
          <w:rFonts w:ascii="Verdana" w:hAnsi="Verdana"/>
          <w:sz w:val="18"/>
          <w:szCs w:val="18"/>
        </w:rPr>
        <w:sectPr w:rsidR="00350830" w:rsidRPr="004D3DC6" w:rsidSect="00BD1A89">
          <w:pgSz w:w="15840" w:h="12240" w:orient="landscape"/>
          <w:pgMar w:top="1418" w:right="1418" w:bottom="1418" w:left="1418" w:header="709" w:footer="709" w:gutter="0"/>
          <w:cols w:space="708"/>
          <w:docGrid w:linePitch="360"/>
        </w:sectPr>
      </w:pPr>
    </w:p>
    <w:p w:rsidR="00350830" w:rsidRPr="004D3DC6" w:rsidRDefault="00350830" w:rsidP="0097447A">
      <w:pPr>
        <w:spacing w:after="0" w:line="276" w:lineRule="auto"/>
        <w:contextualSpacing/>
        <w:rPr>
          <w:rFonts w:ascii="Verdana" w:hAnsi="Verdana"/>
          <w:b/>
          <w:sz w:val="18"/>
          <w:szCs w:val="18"/>
        </w:rPr>
      </w:pPr>
      <w:r w:rsidRPr="004D3DC6">
        <w:rPr>
          <w:rFonts w:ascii="Verdana" w:hAnsi="Verdana"/>
          <w:b/>
          <w:sz w:val="18"/>
          <w:szCs w:val="18"/>
        </w:rPr>
        <w:lastRenderedPageBreak/>
        <w:t>Multivariate sensitivity analysis</w:t>
      </w:r>
    </w:p>
    <w:p w:rsidR="00D41FBE" w:rsidRPr="004D3DC6" w:rsidRDefault="00D41FBE" w:rsidP="0097447A">
      <w:pPr>
        <w:spacing w:after="0" w:line="276" w:lineRule="auto"/>
        <w:contextualSpacing/>
        <w:rPr>
          <w:rFonts w:ascii="Verdana" w:hAnsi="Verdana"/>
          <w:sz w:val="18"/>
          <w:szCs w:val="18"/>
        </w:rPr>
      </w:pPr>
    </w:p>
    <w:p w:rsidR="00350830" w:rsidRPr="004D3DC6" w:rsidRDefault="00D41FBE" w:rsidP="0097447A">
      <w:pPr>
        <w:spacing w:after="0" w:line="276" w:lineRule="auto"/>
        <w:contextualSpacing/>
        <w:rPr>
          <w:rFonts w:ascii="Verdana" w:hAnsi="Verdana"/>
          <w:sz w:val="18"/>
          <w:szCs w:val="18"/>
        </w:rPr>
      </w:pPr>
      <w:r w:rsidRPr="004D3DC6">
        <w:rPr>
          <w:rFonts w:ascii="Verdana" w:hAnsi="Verdana"/>
          <w:b/>
          <w:noProof/>
          <w:sz w:val="18"/>
          <w:szCs w:val="18"/>
        </w:rPr>
        <w:drawing>
          <wp:anchor distT="0" distB="0" distL="114300" distR="114300" simplePos="0" relativeHeight="251658240" behindDoc="0" locked="0" layoutInCell="1" allowOverlap="1">
            <wp:simplePos x="0" y="0"/>
            <wp:positionH relativeFrom="column">
              <wp:posOffset>4453255</wp:posOffset>
            </wp:positionH>
            <wp:positionV relativeFrom="paragraph">
              <wp:posOffset>13970</wp:posOffset>
            </wp:positionV>
            <wp:extent cx="1847215" cy="969010"/>
            <wp:effectExtent l="0" t="0" r="635" b="2540"/>
            <wp:wrapSquare wrapText="bothSides"/>
            <wp:docPr id="2" name="Afbeelding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Afbeelding 1"/>
                    <pic:cNvPicPr>
                      <a:picLocks/>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847215" cy="969010"/>
                    </a:xfrm>
                    <a:prstGeom prst="rect">
                      <a:avLst/>
                    </a:prstGeom>
                  </pic:spPr>
                </pic:pic>
              </a:graphicData>
            </a:graphic>
            <wp14:sizeRelH relativeFrom="page">
              <wp14:pctWidth>0</wp14:pctWidth>
            </wp14:sizeRelH>
            <wp14:sizeRelV relativeFrom="page">
              <wp14:pctHeight>0</wp14:pctHeight>
            </wp14:sizeRelV>
          </wp:anchor>
        </w:drawing>
      </w:r>
      <w:r w:rsidR="00350830" w:rsidRPr="004D3DC6">
        <w:rPr>
          <w:rFonts w:ascii="Verdana" w:hAnsi="Verdana"/>
          <w:sz w:val="18"/>
          <w:szCs w:val="18"/>
        </w:rPr>
        <w:t>Inputs</w:t>
      </w:r>
      <w:r w:rsidR="009A5FAE" w:rsidRPr="004D3DC6">
        <w:rPr>
          <w:rFonts w:ascii="Verdana" w:hAnsi="Verdana"/>
          <w:sz w:val="18"/>
          <w:szCs w:val="18"/>
        </w:rPr>
        <w:t xml:space="preserve"> </w:t>
      </w:r>
    </w:p>
    <w:p w:rsidR="00350830" w:rsidRPr="004D3DC6" w:rsidRDefault="00350830" w:rsidP="0097447A">
      <w:pPr>
        <w:spacing w:after="0" w:line="276" w:lineRule="auto"/>
        <w:contextualSpacing/>
        <w:rPr>
          <w:rFonts w:ascii="Verdana" w:hAnsi="Verdana"/>
          <w:b/>
          <w:sz w:val="18"/>
          <w:szCs w:val="18"/>
        </w:rPr>
      </w:pPr>
    </w:p>
    <w:p w:rsidR="00350830" w:rsidRPr="004D3DC6" w:rsidRDefault="00350830" w:rsidP="0097447A">
      <w:pPr>
        <w:numPr>
          <w:ilvl w:val="0"/>
          <w:numId w:val="11"/>
        </w:numPr>
        <w:spacing w:after="0" w:line="276" w:lineRule="auto"/>
        <w:ind w:hanging="357"/>
        <w:contextualSpacing/>
        <w:rPr>
          <w:rFonts w:ascii="Verdana" w:hAnsi="Verdana"/>
          <w:sz w:val="18"/>
          <w:szCs w:val="18"/>
        </w:rPr>
      </w:pPr>
      <w:r w:rsidRPr="004D3DC6">
        <w:rPr>
          <w:rFonts w:ascii="Verdana" w:hAnsi="Verdana"/>
          <w:sz w:val="18"/>
          <w:szCs w:val="18"/>
        </w:rPr>
        <w:t>Stricter payment terms</w:t>
      </w:r>
    </w:p>
    <w:p w:rsidR="00350830" w:rsidRPr="004D3DC6" w:rsidRDefault="00350830" w:rsidP="0097447A">
      <w:pPr>
        <w:numPr>
          <w:ilvl w:val="1"/>
          <w:numId w:val="11"/>
        </w:numPr>
        <w:spacing w:after="0" w:line="276" w:lineRule="auto"/>
        <w:ind w:hanging="357"/>
        <w:contextualSpacing/>
        <w:rPr>
          <w:rFonts w:ascii="Verdana" w:hAnsi="Verdana"/>
          <w:sz w:val="18"/>
          <w:szCs w:val="18"/>
        </w:rPr>
      </w:pPr>
      <w:r w:rsidRPr="004D3DC6">
        <w:rPr>
          <w:rFonts w:ascii="Verdana" w:hAnsi="Verdana"/>
          <w:sz w:val="18"/>
          <w:szCs w:val="18"/>
        </w:rPr>
        <w:t>Number of firms:</w:t>
      </w:r>
    </w:p>
    <w:p w:rsidR="00350830" w:rsidRPr="004D3DC6" w:rsidRDefault="00350830" w:rsidP="0097447A">
      <w:pPr>
        <w:spacing w:after="0" w:line="276" w:lineRule="auto"/>
        <w:ind w:left="1440"/>
        <w:contextualSpacing/>
        <w:rPr>
          <w:rFonts w:ascii="Verdana" w:hAnsi="Verdana"/>
          <w:sz w:val="18"/>
          <w:szCs w:val="18"/>
        </w:rPr>
      </w:pPr>
      <w:r w:rsidRPr="004D3DC6">
        <w:rPr>
          <w:rFonts w:ascii="Verdana" w:hAnsi="Verdana"/>
          <w:sz w:val="18"/>
          <w:szCs w:val="18"/>
        </w:rPr>
        <w:t xml:space="preserve">Normal distribution: avg. 2,000,000 and std.dev. 200,000 </w:t>
      </w:r>
    </w:p>
    <w:p w:rsidR="00350830" w:rsidRPr="004D3DC6" w:rsidRDefault="00350830" w:rsidP="0097447A">
      <w:pPr>
        <w:spacing w:after="0" w:line="276" w:lineRule="auto"/>
        <w:ind w:left="1440"/>
        <w:contextualSpacing/>
        <w:rPr>
          <w:rFonts w:ascii="Verdana" w:hAnsi="Verdana"/>
          <w:sz w:val="18"/>
          <w:szCs w:val="18"/>
        </w:rPr>
      </w:pPr>
    </w:p>
    <w:p w:rsidR="00350830" w:rsidRPr="004D3DC6" w:rsidRDefault="00350830" w:rsidP="0097447A">
      <w:pPr>
        <w:spacing w:after="0" w:line="276" w:lineRule="auto"/>
        <w:ind w:left="1440"/>
        <w:contextualSpacing/>
        <w:rPr>
          <w:rFonts w:ascii="Verdana" w:hAnsi="Verdana"/>
          <w:sz w:val="18"/>
          <w:szCs w:val="18"/>
        </w:rPr>
      </w:pPr>
    </w:p>
    <w:p w:rsidR="00350830" w:rsidRPr="004D3DC6" w:rsidRDefault="00350830" w:rsidP="0097447A">
      <w:pPr>
        <w:spacing w:after="0" w:line="276" w:lineRule="auto"/>
        <w:ind w:left="1440"/>
        <w:contextualSpacing/>
        <w:rPr>
          <w:rFonts w:ascii="Verdana" w:hAnsi="Verdana"/>
          <w:sz w:val="18"/>
          <w:szCs w:val="18"/>
        </w:rPr>
      </w:pPr>
      <w:r w:rsidRPr="004D3DC6">
        <w:rPr>
          <w:rFonts w:ascii="Verdana" w:hAnsi="Verdana"/>
          <w:noProof/>
          <w:sz w:val="18"/>
          <w:szCs w:val="18"/>
        </w:rPr>
        <w:drawing>
          <wp:anchor distT="0" distB="0" distL="114300" distR="114300" simplePos="0" relativeHeight="251661312" behindDoc="0" locked="0" layoutInCell="1" allowOverlap="1">
            <wp:simplePos x="0" y="0"/>
            <wp:positionH relativeFrom="column">
              <wp:posOffset>4453255</wp:posOffset>
            </wp:positionH>
            <wp:positionV relativeFrom="paragraph">
              <wp:posOffset>51435</wp:posOffset>
            </wp:positionV>
            <wp:extent cx="1847215" cy="969010"/>
            <wp:effectExtent l="0" t="0" r="635" b="2540"/>
            <wp:wrapSquare wrapText="bothSides"/>
            <wp:docPr id="5" name="Afbeelding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Afbeelding 4"/>
                    <pic:cNvPicPr>
                      <a:picLocks/>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847215" cy="969010"/>
                    </a:xfrm>
                    <a:prstGeom prst="rect">
                      <a:avLst/>
                    </a:prstGeom>
                  </pic:spPr>
                </pic:pic>
              </a:graphicData>
            </a:graphic>
            <wp14:sizeRelH relativeFrom="page">
              <wp14:pctWidth>0</wp14:pctWidth>
            </wp14:sizeRelH>
            <wp14:sizeRelV relativeFrom="page">
              <wp14:pctHeight>0</wp14:pctHeight>
            </wp14:sizeRelV>
          </wp:anchor>
        </w:drawing>
      </w:r>
    </w:p>
    <w:p w:rsidR="00350830" w:rsidRPr="004D3DC6" w:rsidRDefault="00350830" w:rsidP="0097447A">
      <w:pPr>
        <w:spacing w:after="0" w:line="276" w:lineRule="auto"/>
        <w:ind w:left="1440"/>
        <w:contextualSpacing/>
        <w:rPr>
          <w:rFonts w:ascii="Verdana" w:hAnsi="Verdana"/>
          <w:sz w:val="18"/>
          <w:szCs w:val="18"/>
        </w:rPr>
      </w:pPr>
    </w:p>
    <w:p w:rsidR="00350830" w:rsidRPr="004D3DC6" w:rsidRDefault="00350830" w:rsidP="0097447A">
      <w:pPr>
        <w:numPr>
          <w:ilvl w:val="0"/>
          <w:numId w:val="11"/>
        </w:numPr>
        <w:spacing w:after="0" w:line="276" w:lineRule="auto"/>
        <w:contextualSpacing/>
        <w:rPr>
          <w:rFonts w:ascii="Verdana" w:hAnsi="Verdana"/>
          <w:sz w:val="18"/>
          <w:szCs w:val="18"/>
        </w:rPr>
      </w:pPr>
      <w:r w:rsidRPr="004D3DC6">
        <w:rPr>
          <w:rFonts w:ascii="Verdana" w:eastAsia="Times New Roman" w:hAnsi="Verdana" w:cs="Times New Roman"/>
          <w:bCs/>
          <w:color w:val="000000"/>
          <w:sz w:val="18"/>
          <w:szCs w:val="18"/>
        </w:rPr>
        <w:t>Transparency of payment practices</w:t>
      </w:r>
    </w:p>
    <w:p w:rsidR="00350830" w:rsidRPr="004D3DC6" w:rsidRDefault="00350830" w:rsidP="0097447A">
      <w:pPr>
        <w:numPr>
          <w:ilvl w:val="1"/>
          <w:numId w:val="11"/>
        </w:numPr>
        <w:spacing w:after="0" w:line="276" w:lineRule="auto"/>
        <w:ind w:hanging="357"/>
        <w:contextualSpacing/>
        <w:rPr>
          <w:rFonts w:ascii="Verdana" w:hAnsi="Verdana"/>
          <w:sz w:val="18"/>
          <w:szCs w:val="18"/>
        </w:rPr>
      </w:pPr>
      <w:r w:rsidRPr="004D3DC6">
        <w:rPr>
          <w:rFonts w:ascii="Verdana" w:hAnsi="Verdana"/>
          <w:sz w:val="18"/>
          <w:szCs w:val="18"/>
        </w:rPr>
        <w:t>Number of firms:</w:t>
      </w:r>
    </w:p>
    <w:p w:rsidR="00350830" w:rsidRPr="004D3DC6" w:rsidRDefault="00350830" w:rsidP="0097447A">
      <w:pPr>
        <w:spacing w:after="0" w:line="276" w:lineRule="auto"/>
        <w:ind w:left="1440"/>
        <w:contextualSpacing/>
        <w:rPr>
          <w:rFonts w:ascii="Verdana" w:hAnsi="Verdana"/>
          <w:sz w:val="18"/>
          <w:szCs w:val="18"/>
        </w:rPr>
      </w:pPr>
      <w:r w:rsidRPr="004D3DC6">
        <w:rPr>
          <w:rFonts w:ascii="Verdana" w:hAnsi="Verdana"/>
          <w:sz w:val="18"/>
          <w:szCs w:val="18"/>
        </w:rPr>
        <w:t>Triangle distribution: min 16,000; avg. 18,000; max 20,000</w:t>
      </w:r>
      <w:r w:rsidRPr="004D3DC6">
        <w:rPr>
          <w:rFonts w:ascii="Verdana" w:hAnsi="Verdana"/>
          <w:noProof/>
          <w:sz w:val="18"/>
          <w:szCs w:val="18"/>
        </w:rPr>
        <w:t xml:space="preserve"> </w:t>
      </w:r>
    </w:p>
    <w:p w:rsidR="00350830" w:rsidRPr="004D3DC6" w:rsidRDefault="00350830" w:rsidP="0097447A">
      <w:pPr>
        <w:spacing w:after="0" w:line="276" w:lineRule="auto"/>
        <w:ind w:left="1440"/>
        <w:contextualSpacing/>
        <w:rPr>
          <w:rFonts w:ascii="Verdana" w:hAnsi="Verdana"/>
          <w:sz w:val="18"/>
          <w:szCs w:val="18"/>
        </w:rPr>
      </w:pPr>
    </w:p>
    <w:p w:rsidR="00350830" w:rsidRPr="004D3DC6" w:rsidRDefault="00350830" w:rsidP="0097447A">
      <w:pPr>
        <w:spacing w:after="0" w:line="276" w:lineRule="auto"/>
        <w:ind w:left="1440"/>
        <w:contextualSpacing/>
        <w:rPr>
          <w:rFonts w:ascii="Verdana" w:hAnsi="Verdana"/>
          <w:sz w:val="18"/>
          <w:szCs w:val="18"/>
        </w:rPr>
      </w:pPr>
    </w:p>
    <w:p w:rsidR="00350830" w:rsidRPr="004D3DC6" w:rsidRDefault="00350830" w:rsidP="0097447A">
      <w:pPr>
        <w:spacing w:after="0" w:line="276" w:lineRule="auto"/>
        <w:ind w:left="1440"/>
        <w:contextualSpacing/>
        <w:rPr>
          <w:rFonts w:ascii="Verdana" w:hAnsi="Verdana"/>
          <w:sz w:val="18"/>
          <w:szCs w:val="18"/>
        </w:rPr>
      </w:pPr>
      <w:r w:rsidRPr="004D3DC6">
        <w:rPr>
          <w:rFonts w:ascii="Verdana" w:hAnsi="Verdana"/>
          <w:noProof/>
          <w:sz w:val="18"/>
          <w:szCs w:val="18"/>
        </w:rPr>
        <w:drawing>
          <wp:anchor distT="0" distB="0" distL="114300" distR="114300" simplePos="0" relativeHeight="251662336" behindDoc="0" locked="0" layoutInCell="1" allowOverlap="1">
            <wp:simplePos x="0" y="0"/>
            <wp:positionH relativeFrom="column">
              <wp:posOffset>4453255</wp:posOffset>
            </wp:positionH>
            <wp:positionV relativeFrom="paragraph">
              <wp:posOffset>82550</wp:posOffset>
            </wp:positionV>
            <wp:extent cx="1847215" cy="969010"/>
            <wp:effectExtent l="0" t="0" r="635" b="2540"/>
            <wp:wrapSquare wrapText="bothSides"/>
            <wp:docPr id="6" name="Afbeelding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Afbeelding 5"/>
                    <pic:cNvPicPr>
                      <a:picLocks/>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847215" cy="969010"/>
                    </a:xfrm>
                    <a:prstGeom prst="rect">
                      <a:avLst/>
                    </a:prstGeom>
                  </pic:spPr>
                </pic:pic>
              </a:graphicData>
            </a:graphic>
            <wp14:sizeRelH relativeFrom="page">
              <wp14:pctWidth>0</wp14:pctWidth>
            </wp14:sizeRelH>
            <wp14:sizeRelV relativeFrom="page">
              <wp14:pctHeight>0</wp14:pctHeight>
            </wp14:sizeRelV>
          </wp:anchor>
        </w:drawing>
      </w:r>
    </w:p>
    <w:p w:rsidR="00350830" w:rsidRPr="004D3DC6" w:rsidRDefault="00350830" w:rsidP="0097447A">
      <w:pPr>
        <w:spacing w:after="0" w:line="276" w:lineRule="auto"/>
        <w:ind w:left="1440"/>
        <w:contextualSpacing/>
        <w:rPr>
          <w:rFonts w:ascii="Verdana" w:hAnsi="Verdana"/>
          <w:sz w:val="18"/>
          <w:szCs w:val="18"/>
        </w:rPr>
      </w:pPr>
    </w:p>
    <w:p w:rsidR="00350830" w:rsidRPr="004D3DC6" w:rsidRDefault="00350830" w:rsidP="0097447A">
      <w:pPr>
        <w:numPr>
          <w:ilvl w:val="0"/>
          <w:numId w:val="11"/>
        </w:numPr>
        <w:spacing w:after="0" w:line="276" w:lineRule="auto"/>
        <w:contextualSpacing/>
        <w:rPr>
          <w:rFonts w:ascii="Verdana" w:hAnsi="Verdana"/>
          <w:sz w:val="18"/>
          <w:szCs w:val="18"/>
        </w:rPr>
      </w:pPr>
      <w:r w:rsidRPr="004D3DC6">
        <w:rPr>
          <w:rFonts w:ascii="Verdana" w:hAnsi="Verdana"/>
          <w:sz w:val="18"/>
          <w:szCs w:val="18"/>
        </w:rPr>
        <w:t>Alternative Dispute Resolution System</w:t>
      </w:r>
    </w:p>
    <w:p w:rsidR="00350830" w:rsidRPr="004D3DC6" w:rsidRDefault="00350830" w:rsidP="0097447A">
      <w:pPr>
        <w:numPr>
          <w:ilvl w:val="1"/>
          <w:numId w:val="11"/>
        </w:numPr>
        <w:spacing w:after="0" w:line="276" w:lineRule="auto"/>
        <w:ind w:hanging="357"/>
        <w:contextualSpacing/>
        <w:rPr>
          <w:rFonts w:ascii="Verdana" w:hAnsi="Verdana"/>
          <w:sz w:val="18"/>
          <w:szCs w:val="18"/>
        </w:rPr>
      </w:pPr>
      <w:r w:rsidRPr="004D3DC6">
        <w:rPr>
          <w:rFonts w:ascii="Verdana" w:hAnsi="Verdana"/>
          <w:sz w:val="18"/>
          <w:szCs w:val="18"/>
        </w:rPr>
        <w:t>Number of firms:</w:t>
      </w:r>
    </w:p>
    <w:p w:rsidR="00350830" w:rsidRPr="004D3DC6" w:rsidRDefault="00350830" w:rsidP="0097447A">
      <w:pPr>
        <w:spacing w:after="0" w:line="276" w:lineRule="auto"/>
        <w:ind w:left="1440"/>
        <w:contextualSpacing/>
        <w:rPr>
          <w:rFonts w:ascii="Verdana" w:hAnsi="Verdana"/>
          <w:sz w:val="18"/>
          <w:szCs w:val="18"/>
        </w:rPr>
      </w:pPr>
      <w:r w:rsidRPr="004D3DC6">
        <w:rPr>
          <w:rFonts w:ascii="Verdana" w:hAnsi="Verdana"/>
          <w:sz w:val="18"/>
          <w:szCs w:val="18"/>
        </w:rPr>
        <w:t>Uniform distribution: min 7,500; max 15</w:t>
      </w:r>
      <w:r w:rsidRPr="004D3DC6">
        <w:rPr>
          <w:rFonts w:ascii="Verdana" w:hAnsi="Verdana"/>
          <w:noProof/>
          <w:sz w:val="18"/>
          <w:szCs w:val="18"/>
        </w:rPr>
        <w:t xml:space="preserve"> </w:t>
      </w:r>
      <w:r w:rsidRPr="004D3DC6">
        <w:rPr>
          <w:rFonts w:ascii="Verdana" w:hAnsi="Verdana"/>
          <w:sz w:val="18"/>
          <w:szCs w:val="18"/>
        </w:rPr>
        <w:t>,000</w:t>
      </w:r>
    </w:p>
    <w:p w:rsidR="00350830" w:rsidRPr="004D3DC6" w:rsidRDefault="00350830" w:rsidP="0097447A">
      <w:pPr>
        <w:spacing w:after="0" w:line="276" w:lineRule="auto"/>
        <w:ind w:left="1440"/>
        <w:contextualSpacing/>
        <w:rPr>
          <w:rFonts w:ascii="Verdana" w:hAnsi="Verdana"/>
          <w:sz w:val="18"/>
          <w:szCs w:val="18"/>
        </w:rPr>
      </w:pPr>
    </w:p>
    <w:p w:rsidR="00350830" w:rsidRPr="004D3DC6" w:rsidRDefault="00350830" w:rsidP="0097447A">
      <w:pPr>
        <w:spacing w:after="0" w:line="276" w:lineRule="auto"/>
        <w:ind w:left="720"/>
        <w:contextualSpacing/>
        <w:rPr>
          <w:rFonts w:ascii="Verdana" w:hAnsi="Verdana"/>
          <w:sz w:val="18"/>
          <w:szCs w:val="18"/>
        </w:rPr>
      </w:pPr>
    </w:p>
    <w:p w:rsidR="00350830" w:rsidRPr="004D3DC6" w:rsidRDefault="00350830" w:rsidP="0097447A">
      <w:pPr>
        <w:spacing w:after="0" w:line="276" w:lineRule="auto"/>
        <w:ind w:left="720"/>
        <w:contextualSpacing/>
        <w:rPr>
          <w:rFonts w:ascii="Verdana" w:hAnsi="Verdana"/>
          <w:sz w:val="18"/>
          <w:szCs w:val="18"/>
        </w:rPr>
      </w:pPr>
      <w:r w:rsidRPr="004D3DC6">
        <w:rPr>
          <w:rFonts w:ascii="Verdana" w:hAnsi="Verdana"/>
          <w:noProof/>
          <w:sz w:val="18"/>
          <w:szCs w:val="18"/>
        </w:rPr>
        <w:drawing>
          <wp:anchor distT="0" distB="0" distL="114300" distR="114300" simplePos="0" relativeHeight="251659264" behindDoc="0" locked="0" layoutInCell="1" allowOverlap="1">
            <wp:simplePos x="0" y="0"/>
            <wp:positionH relativeFrom="column">
              <wp:posOffset>4453255</wp:posOffset>
            </wp:positionH>
            <wp:positionV relativeFrom="paragraph">
              <wp:posOffset>78105</wp:posOffset>
            </wp:positionV>
            <wp:extent cx="1847215" cy="969010"/>
            <wp:effectExtent l="0" t="0" r="635" b="2540"/>
            <wp:wrapSquare wrapText="bothSides"/>
            <wp:docPr id="3" name="Afbeelding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Afbeelding 2"/>
                    <pic:cNvPicPr>
                      <a:picLocks/>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847215" cy="969010"/>
                    </a:xfrm>
                    <a:prstGeom prst="rect">
                      <a:avLst/>
                    </a:prstGeom>
                  </pic:spPr>
                </pic:pic>
              </a:graphicData>
            </a:graphic>
            <wp14:sizeRelH relativeFrom="page">
              <wp14:pctWidth>0</wp14:pctWidth>
            </wp14:sizeRelH>
            <wp14:sizeRelV relativeFrom="page">
              <wp14:pctHeight>0</wp14:pctHeight>
            </wp14:sizeRelV>
          </wp:anchor>
        </w:drawing>
      </w:r>
    </w:p>
    <w:p w:rsidR="00350830" w:rsidRPr="004D3DC6" w:rsidRDefault="00350830" w:rsidP="0097447A">
      <w:pPr>
        <w:spacing w:after="0" w:line="276" w:lineRule="auto"/>
        <w:ind w:left="720"/>
        <w:contextualSpacing/>
        <w:rPr>
          <w:rFonts w:ascii="Verdana" w:hAnsi="Verdana"/>
          <w:sz w:val="18"/>
          <w:szCs w:val="18"/>
        </w:rPr>
      </w:pPr>
    </w:p>
    <w:p w:rsidR="00350830" w:rsidRPr="004D3DC6" w:rsidRDefault="00350830" w:rsidP="0097447A">
      <w:pPr>
        <w:numPr>
          <w:ilvl w:val="0"/>
          <w:numId w:val="11"/>
        </w:numPr>
        <w:spacing w:after="0" w:line="276" w:lineRule="auto"/>
        <w:contextualSpacing/>
        <w:rPr>
          <w:rFonts w:ascii="Verdana" w:hAnsi="Verdana"/>
          <w:sz w:val="18"/>
          <w:szCs w:val="18"/>
        </w:rPr>
      </w:pPr>
      <w:r w:rsidRPr="004D3DC6">
        <w:rPr>
          <w:rFonts w:ascii="Verdana" w:hAnsi="Verdana"/>
          <w:sz w:val="18"/>
          <w:szCs w:val="18"/>
        </w:rPr>
        <w:t>Administrative sanctions</w:t>
      </w:r>
    </w:p>
    <w:p w:rsidR="00350830" w:rsidRPr="004D3DC6" w:rsidRDefault="00350830" w:rsidP="0097447A">
      <w:pPr>
        <w:numPr>
          <w:ilvl w:val="1"/>
          <w:numId w:val="11"/>
        </w:numPr>
        <w:spacing w:after="0" w:line="276" w:lineRule="auto"/>
        <w:ind w:hanging="357"/>
        <w:contextualSpacing/>
        <w:rPr>
          <w:rFonts w:ascii="Verdana" w:hAnsi="Verdana"/>
          <w:sz w:val="18"/>
          <w:szCs w:val="18"/>
        </w:rPr>
      </w:pPr>
      <w:r w:rsidRPr="004D3DC6">
        <w:rPr>
          <w:rFonts w:ascii="Verdana" w:hAnsi="Verdana"/>
          <w:sz w:val="18"/>
          <w:szCs w:val="18"/>
        </w:rPr>
        <w:t>Number of firms:</w:t>
      </w:r>
    </w:p>
    <w:p w:rsidR="00350830" w:rsidRPr="004D3DC6" w:rsidRDefault="00350830" w:rsidP="0097447A">
      <w:pPr>
        <w:spacing w:after="0" w:line="276" w:lineRule="auto"/>
        <w:ind w:left="1440"/>
        <w:contextualSpacing/>
        <w:rPr>
          <w:rFonts w:ascii="Verdana" w:hAnsi="Verdana"/>
          <w:sz w:val="18"/>
          <w:szCs w:val="18"/>
        </w:rPr>
      </w:pPr>
      <w:r w:rsidRPr="004D3DC6">
        <w:rPr>
          <w:rFonts w:ascii="Verdana" w:hAnsi="Verdana"/>
          <w:sz w:val="18"/>
          <w:szCs w:val="18"/>
        </w:rPr>
        <w:t>Triangle distribution: min 1,350; avg. 1,500; max 1,650</w:t>
      </w:r>
    </w:p>
    <w:p w:rsidR="00350830" w:rsidRPr="004D3DC6" w:rsidRDefault="00350830" w:rsidP="0097447A">
      <w:pPr>
        <w:spacing w:after="0" w:line="276" w:lineRule="auto"/>
        <w:ind w:left="1440"/>
        <w:contextualSpacing/>
        <w:rPr>
          <w:rFonts w:ascii="Verdana" w:hAnsi="Verdana"/>
          <w:sz w:val="18"/>
          <w:szCs w:val="18"/>
        </w:rPr>
      </w:pPr>
    </w:p>
    <w:p w:rsidR="00350830" w:rsidRPr="004D3DC6" w:rsidRDefault="00350830" w:rsidP="0097447A">
      <w:pPr>
        <w:spacing w:after="0" w:line="276" w:lineRule="auto"/>
        <w:ind w:left="1440"/>
        <w:contextualSpacing/>
        <w:rPr>
          <w:rFonts w:ascii="Verdana" w:hAnsi="Verdana"/>
          <w:sz w:val="18"/>
          <w:szCs w:val="18"/>
        </w:rPr>
      </w:pPr>
    </w:p>
    <w:p w:rsidR="00350830" w:rsidRPr="004D3DC6" w:rsidRDefault="00350830" w:rsidP="0097447A">
      <w:pPr>
        <w:spacing w:after="0" w:line="276" w:lineRule="auto"/>
        <w:ind w:left="1440"/>
        <w:contextualSpacing/>
        <w:rPr>
          <w:rFonts w:ascii="Verdana" w:hAnsi="Verdana"/>
          <w:noProof/>
          <w:sz w:val="18"/>
          <w:szCs w:val="18"/>
        </w:rPr>
      </w:pPr>
      <w:r w:rsidRPr="004D3DC6">
        <w:rPr>
          <w:rFonts w:ascii="Verdana" w:hAnsi="Verdana"/>
          <w:noProof/>
          <w:sz w:val="18"/>
          <w:szCs w:val="18"/>
        </w:rPr>
        <w:drawing>
          <wp:anchor distT="0" distB="0" distL="114300" distR="114300" simplePos="0" relativeHeight="251660288" behindDoc="0" locked="0" layoutInCell="1" allowOverlap="1">
            <wp:simplePos x="0" y="0"/>
            <wp:positionH relativeFrom="column">
              <wp:posOffset>4453255</wp:posOffset>
            </wp:positionH>
            <wp:positionV relativeFrom="paragraph">
              <wp:posOffset>128270</wp:posOffset>
            </wp:positionV>
            <wp:extent cx="1847619" cy="969430"/>
            <wp:effectExtent l="0" t="0" r="635" b="2540"/>
            <wp:wrapSquare wrapText="bothSides"/>
            <wp:docPr id="4" name="Afbeelding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Afbeelding 3"/>
                    <pic:cNvPicPr>
                      <a:picLocks/>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847619" cy="969430"/>
                    </a:xfrm>
                    <a:prstGeom prst="rect">
                      <a:avLst/>
                    </a:prstGeom>
                  </pic:spPr>
                </pic:pic>
              </a:graphicData>
            </a:graphic>
            <wp14:sizeRelH relativeFrom="page">
              <wp14:pctWidth>0</wp14:pctWidth>
            </wp14:sizeRelH>
            <wp14:sizeRelV relativeFrom="page">
              <wp14:pctHeight>0</wp14:pctHeight>
            </wp14:sizeRelV>
          </wp:anchor>
        </w:drawing>
      </w:r>
    </w:p>
    <w:p w:rsidR="00350830" w:rsidRPr="004D3DC6" w:rsidRDefault="00350830" w:rsidP="0097447A">
      <w:pPr>
        <w:spacing w:after="0" w:line="276" w:lineRule="auto"/>
        <w:ind w:left="1440"/>
        <w:contextualSpacing/>
        <w:rPr>
          <w:rFonts w:ascii="Verdana" w:hAnsi="Verdana"/>
          <w:sz w:val="18"/>
          <w:szCs w:val="18"/>
        </w:rPr>
      </w:pPr>
      <w:r w:rsidRPr="004D3DC6">
        <w:rPr>
          <w:rFonts w:ascii="Verdana" w:hAnsi="Verdana"/>
          <w:noProof/>
          <w:sz w:val="18"/>
          <w:szCs w:val="18"/>
        </w:rPr>
        <w:t xml:space="preserve"> </w:t>
      </w:r>
    </w:p>
    <w:p w:rsidR="00350830" w:rsidRPr="004D3DC6" w:rsidRDefault="00350830" w:rsidP="0097447A">
      <w:pPr>
        <w:numPr>
          <w:ilvl w:val="0"/>
          <w:numId w:val="11"/>
        </w:numPr>
        <w:spacing w:after="0" w:line="276" w:lineRule="auto"/>
        <w:contextualSpacing/>
        <w:rPr>
          <w:rFonts w:ascii="Verdana" w:hAnsi="Verdana"/>
          <w:sz w:val="18"/>
          <w:szCs w:val="18"/>
        </w:rPr>
      </w:pPr>
      <w:r w:rsidRPr="004D3DC6">
        <w:rPr>
          <w:rFonts w:ascii="Verdana" w:hAnsi="Verdana"/>
          <w:sz w:val="18"/>
          <w:szCs w:val="18"/>
        </w:rPr>
        <w:t>Tax regulations</w:t>
      </w:r>
    </w:p>
    <w:p w:rsidR="00350830" w:rsidRPr="004D3DC6" w:rsidRDefault="00350830" w:rsidP="0097447A">
      <w:pPr>
        <w:numPr>
          <w:ilvl w:val="1"/>
          <w:numId w:val="11"/>
        </w:numPr>
        <w:spacing w:after="0" w:line="276" w:lineRule="auto"/>
        <w:ind w:hanging="357"/>
        <w:contextualSpacing/>
        <w:rPr>
          <w:rFonts w:ascii="Verdana" w:hAnsi="Verdana"/>
          <w:sz w:val="18"/>
          <w:szCs w:val="18"/>
        </w:rPr>
      </w:pPr>
      <w:r w:rsidRPr="004D3DC6">
        <w:rPr>
          <w:rFonts w:ascii="Verdana" w:hAnsi="Verdana"/>
          <w:sz w:val="18"/>
          <w:szCs w:val="18"/>
        </w:rPr>
        <w:t xml:space="preserve">Number of </w:t>
      </w:r>
      <w:r w:rsidR="00A94F54" w:rsidRPr="004D3DC6">
        <w:rPr>
          <w:rFonts w:ascii="Verdana" w:hAnsi="Verdana"/>
          <w:sz w:val="18"/>
          <w:szCs w:val="18"/>
        </w:rPr>
        <w:t>applications</w:t>
      </w:r>
      <w:r w:rsidRPr="004D3DC6">
        <w:rPr>
          <w:rFonts w:ascii="Verdana" w:hAnsi="Verdana"/>
          <w:sz w:val="18"/>
          <w:szCs w:val="18"/>
        </w:rPr>
        <w:t>:</w:t>
      </w:r>
    </w:p>
    <w:p w:rsidR="00350830" w:rsidRPr="004D3DC6" w:rsidRDefault="00350830" w:rsidP="0097447A">
      <w:pPr>
        <w:spacing w:after="0" w:line="276" w:lineRule="auto"/>
        <w:ind w:left="1440"/>
        <w:contextualSpacing/>
        <w:rPr>
          <w:rFonts w:ascii="Verdana" w:hAnsi="Verdana"/>
          <w:sz w:val="18"/>
          <w:szCs w:val="18"/>
        </w:rPr>
      </w:pPr>
      <w:r w:rsidRPr="004D3DC6">
        <w:rPr>
          <w:rFonts w:ascii="Verdana" w:hAnsi="Verdana"/>
          <w:sz w:val="18"/>
          <w:szCs w:val="18"/>
        </w:rPr>
        <w:t>Uniform distribution: min 20,000; max 50,000</w:t>
      </w:r>
    </w:p>
    <w:p w:rsidR="00350830" w:rsidRPr="004D3DC6" w:rsidRDefault="00350830" w:rsidP="0097447A">
      <w:pPr>
        <w:spacing w:after="0" w:line="276" w:lineRule="auto"/>
        <w:ind w:left="720"/>
        <w:contextualSpacing/>
        <w:rPr>
          <w:rFonts w:ascii="Verdana" w:hAnsi="Verdana"/>
          <w:sz w:val="18"/>
          <w:szCs w:val="18"/>
        </w:rPr>
      </w:pPr>
    </w:p>
    <w:p w:rsidR="00350830" w:rsidRPr="004D3DC6" w:rsidRDefault="00350830" w:rsidP="0097447A">
      <w:pPr>
        <w:spacing w:after="0" w:line="276" w:lineRule="auto"/>
        <w:contextualSpacing/>
        <w:rPr>
          <w:rFonts w:ascii="Verdana" w:hAnsi="Verdana"/>
          <w:sz w:val="18"/>
          <w:szCs w:val="18"/>
        </w:rPr>
      </w:pPr>
    </w:p>
    <w:p w:rsidR="00350830" w:rsidRPr="004D3DC6" w:rsidRDefault="00350830" w:rsidP="0097447A">
      <w:pPr>
        <w:spacing w:after="0" w:line="276" w:lineRule="auto"/>
        <w:contextualSpacing/>
        <w:rPr>
          <w:rFonts w:ascii="Verdana" w:hAnsi="Verdana"/>
          <w:sz w:val="18"/>
          <w:szCs w:val="18"/>
        </w:rPr>
      </w:pPr>
    </w:p>
    <w:p w:rsidR="00C6367A" w:rsidRPr="004D3DC6" w:rsidRDefault="00C6367A" w:rsidP="0097447A">
      <w:pPr>
        <w:spacing w:after="0" w:line="276" w:lineRule="auto"/>
        <w:contextualSpacing/>
        <w:rPr>
          <w:rFonts w:ascii="Verdana" w:hAnsi="Verdana"/>
          <w:sz w:val="18"/>
          <w:szCs w:val="18"/>
        </w:rPr>
        <w:sectPr w:rsidR="00C6367A" w:rsidRPr="004D3DC6" w:rsidSect="00BD1A89">
          <w:pgSz w:w="12240" w:h="15840"/>
          <w:pgMar w:top="1418" w:right="1418" w:bottom="1418" w:left="1418" w:header="709" w:footer="709" w:gutter="0"/>
          <w:cols w:space="708"/>
          <w:docGrid w:linePitch="360"/>
        </w:sectPr>
      </w:pPr>
    </w:p>
    <w:p w:rsidR="00C6367A" w:rsidRPr="004D3DC6" w:rsidRDefault="00C6367A" w:rsidP="0097447A">
      <w:pPr>
        <w:pStyle w:val="Bijschrift"/>
        <w:keepNext/>
        <w:spacing w:after="0" w:line="276" w:lineRule="auto"/>
        <w:contextualSpacing/>
        <w:jc w:val="center"/>
        <w:rPr>
          <w:rFonts w:ascii="Verdana" w:hAnsi="Verdana"/>
          <w:b/>
          <w:i w:val="0"/>
          <w:color w:val="auto"/>
          <w:sz w:val="16"/>
        </w:rPr>
      </w:pPr>
      <w:r w:rsidRPr="004D3DC6">
        <w:rPr>
          <w:rFonts w:ascii="Verdana" w:hAnsi="Verdana"/>
          <w:b/>
          <w:i w:val="0"/>
          <w:color w:val="auto"/>
          <w:sz w:val="16"/>
        </w:rPr>
        <w:lastRenderedPageBreak/>
        <w:t xml:space="preserve">Figure </w:t>
      </w:r>
      <w:r w:rsidRPr="004D3DC6">
        <w:rPr>
          <w:rFonts w:ascii="Verdana" w:hAnsi="Verdana"/>
          <w:b/>
          <w:i w:val="0"/>
          <w:color w:val="auto"/>
          <w:sz w:val="16"/>
        </w:rPr>
        <w:fldChar w:fldCharType="begin"/>
      </w:r>
      <w:r w:rsidRPr="004D3DC6">
        <w:rPr>
          <w:rFonts w:ascii="Verdana" w:hAnsi="Verdana"/>
          <w:b/>
          <w:i w:val="0"/>
          <w:color w:val="auto"/>
          <w:sz w:val="16"/>
        </w:rPr>
        <w:instrText xml:space="preserve"> SEQ Figure \* ARABIC </w:instrText>
      </w:r>
      <w:r w:rsidRPr="004D3DC6">
        <w:rPr>
          <w:rFonts w:ascii="Verdana" w:hAnsi="Verdana"/>
          <w:b/>
          <w:i w:val="0"/>
          <w:color w:val="auto"/>
          <w:sz w:val="16"/>
        </w:rPr>
        <w:fldChar w:fldCharType="separate"/>
      </w:r>
      <w:r w:rsidR="00AF2698">
        <w:rPr>
          <w:rFonts w:ascii="Verdana" w:hAnsi="Verdana"/>
          <w:b/>
          <w:i w:val="0"/>
          <w:noProof/>
          <w:color w:val="auto"/>
          <w:sz w:val="16"/>
        </w:rPr>
        <w:t>1</w:t>
      </w:r>
      <w:r w:rsidRPr="004D3DC6">
        <w:rPr>
          <w:rFonts w:ascii="Verdana" w:hAnsi="Verdana"/>
          <w:b/>
          <w:i w:val="0"/>
          <w:color w:val="auto"/>
          <w:sz w:val="16"/>
        </w:rPr>
        <w:fldChar w:fldCharType="end"/>
      </w:r>
      <w:r w:rsidRPr="004D3DC6">
        <w:rPr>
          <w:rFonts w:ascii="Verdana" w:hAnsi="Verdana"/>
          <w:b/>
          <w:i w:val="0"/>
          <w:color w:val="auto"/>
          <w:sz w:val="16"/>
        </w:rPr>
        <w:t>: Monte Carlo analysis</w:t>
      </w:r>
    </w:p>
    <w:p w:rsidR="007568D5" w:rsidRPr="004D3DC6" w:rsidRDefault="00D362F3" w:rsidP="0097447A">
      <w:pPr>
        <w:spacing w:after="0" w:line="276" w:lineRule="auto"/>
        <w:contextualSpacing/>
        <w:rPr>
          <w:rFonts w:ascii="Verdana" w:hAnsi="Verdana"/>
          <w:sz w:val="18"/>
          <w:szCs w:val="18"/>
        </w:rPr>
      </w:pPr>
      <w:r w:rsidRPr="004D3DC6">
        <w:rPr>
          <w:rFonts w:ascii="Verdana" w:hAnsi="Verdana"/>
          <w:noProof/>
          <w:sz w:val="18"/>
          <w:szCs w:val="18"/>
        </w:rPr>
        <w:drawing>
          <wp:inline distT="0" distB="0" distL="0" distR="0" wp14:anchorId="31785D31" wp14:editId="024F0D87">
            <wp:extent cx="8267700" cy="3437697"/>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8291657" cy="3447658"/>
                    </a:xfrm>
                    <a:prstGeom prst="rect">
                      <a:avLst/>
                    </a:prstGeom>
                  </pic:spPr>
                </pic:pic>
              </a:graphicData>
            </a:graphic>
          </wp:inline>
        </w:drawing>
      </w:r>
    </w:p>
    <w:p w:rsidR="008F0147" w:rsidRDefault="008F0147" w:rsidP="0097447A">
      <w:pPr>
        <w:pStyle w:val="Bijschrift"/>
        <w:keepNext/>
        <w:spacing w:after="0" w:line="276" w:lineRule="auto"/>
        <w:contextualSpacing/>
        <w:jc w:val="center"/>
        <w:rPr>
          <w:rFonts w:ascii="Verdana" w:hAnsi="Verdana"/>
          <w:b/>
          <w:i w:val="0"/>
          <w:color w:val="auto"/>
          <w:sz w:val="16"/>
        </w:rPr>
      </w:pPr>
    </w:p>
    <w:p w:rsidR="00C6367A" w:rsidRPr="004D3DC6" w:rsidRDefault="00C6367A" w:rsidP="0097447A">
      <w:pPr>
        <w:pStyle w:val="Bijschrift"/>
        <w:keepNext/>
        <w:spacing w:after="0" w:line="276" w:lineRule="auto"/>
        <w:contextualSpacing/>
        <w:jc w:val="center"/>
        <w:rPr>
          <w:rFonts w:ascii="Verdana" w:hAnsi="Verdana"/>
          <w:b/>
          <w:i w:val="0"/>
          <w:color w:val="auto"/>
          <w:sz w:val="16"/>
        </w:rPr>
      </w:pPr>
      <w:r w:rsidRPr="004D3DC6">
        <w:rPr>
          <w:rFonts w:ascii="Verdana" w:hAnsi="Verdana"/>
          <w:b/>
          <w:i w:val="0"/>
          <w:color w:val="auto"/>
          <w:sz w:val="16"/>
        </w:rPr>
        <w:t xml:space="preserve">Figure </w:t>
      </w:r>
      <w:r w:rsidRPr="004D3DC6">
        <w:rPr>
          <w:rFonts w:ascii="Verdana" w:hAnsi="Verdana"/>
          <w:b/>
          <w:i w:val="0"/>
          <w:color w:val="auto"/>
          <w:sz w:val="16"/>
        </w:rPr>
        <w:fldChar w:fldCharType="begin"/>
      </w:r>
      <w:r w:rsidRPr="004D3DC6">
        <w:rPr>
          <w:rFonts w:ascii="Verdana" w:hAnsi="Verdana"/>
          <w:b/>
          <w:i w:val="0"/>
          <w:color w:val="auto"/>
          <w:sz w:val="16"/>
        </w:rPr>
        <w:instrText xml:space="preserve"> SEQ Figure \* ARABIC </w:instrText>
      </w:r>
      <w:r w:rsidRPr="004D3DC6">
        <w:rPr>
          <w:rFonts w:ascii="Verdana" w:hAnsi="Verdana"/>
          <w:b/>
          <w:i w:val="0"/>
          <w:color w:val="auto"/>
          <w:sz w:val="16"/>
        </w:rPr>
        <w:fldChar w:fldCharType="separate"/>
      </w:r>
      <w:r w:rsidR="00AF2698">
        <w:rPr>
          <w:rFonts w:ascii="Verdana" w:hAnsi="Verdana"/>
          <w:b/>
          <w:i w:val="0"/>
          <w:noProof/>
          <w:color w:val="auto"/>
          <w:sz w:val="16"/>
        </w:rPr>
        <w:t>2</w:t>
      </w:r>
      <w:r w:rsidRPr="004D3DC6">
        <w:rPr>
          <w:rFonts w:ascii="Verdana" w:hAnsi="Verdana"/>
          <w:b/>
          <w:i w:val="0"/>
          <w:color w:val="auto"/>
          <w:sz w:val="16"/>
        </w:rPr>
        <w:fldChar w:fldCharType="end"/>
      </w:r>
      <w:r w:rsidRPr="004D3DC6">
        <w:rPr>
          <w:rFonts w:ascii="Verdana" w:hAnsi="Verdana"/>
          <w:b/>
          <w:i w:val="0"/>
          <w:color w:val="auto"/>
          <w:sz w:val="16"/>
        </w:rPr>
        <w:t>: Sensitivity chart</w:t>
      </w:r>
    </w:p>
    <w:p w:rsidR="007568D5" w:rsidRPr="004D3DC6" w:rsidRDefault="00C6367A" w:rsidP="0097447A">
      <w:pPr>
        <w:spacing w:after="0" w:line="276" w:lineRule="auto"/>
        <w:contextualSpacing/>
        <w:jc w:val="center"/>
        <w:rPr>
          <w:rFonts w:ascii="Verdana" w:hAnsi="Verdana"/>
          <w:sz w:val="18"/>
          <w:szCs w:val="18"/>
        </w:rPr>
      </w:pPr>
      <w:r w:rsidRPr="004D3DC6">
        <w:rPr>
          <w:rFonts w:ascii="Verdana" w:hAnsi="Verdana"/>
          <w:noProof/>
          <w:sz w:val="18"/>
          <w:szCs w:val="18"/>
        </w:rPr>
        <w:drawing>
          <wp:inline distT="0" distB="0" distL="0" distR="0" wp14:anchorId="1A884317" wp14:editId="33418578">
            <wp:extent cx="4210050" cy="2000250"/>
            <wp:effectExtent l="0" t="0" r="0" b="0"/>
            <wp:docPr id="8" name="Grafiek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sectPr w:rsidR="007568D5" w:rsidRPr="004D3DC6" w:rsidSect="00BD1A89">
      <w:pgSz w:w="15840" w:h="12240"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7EB0" w:rsidRDefault="00167EB0" w:rsidP="00385B66">
      <w:pPr>
        <w:spacing w:after="0" w:line="240" w:lineRule="auto"/>
      </w:pPr>
      <w:r>
        <w:separator/>
      </w:r>
    </w:p>
  </w:endnote>
  <w:endnote w:type="continuationSeparator" w:id="0">
    <w:p w:rsidR="00167EB0" w:rsidRDefault="00167EB0" w:rsidP="00385B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8636675"/>
      <w:docPartObj>
        <w:docPartGallery w:val="Page Numbers (Bottom of Page)"/>
        <w:docPartUnique/>
      </w:docPartObj>
    </w:sdtPr>
    <w:sdtEndPr/>
    <w:sdtContent>
      <w:p w:rsidR="00E95BCA" w:rsidRDefault="00E95BCA">
        <w:pPr>
          <w:pStyle w:val="Voettekst"/>
          <w:jc w:val="right"/>
        </w:pPr>
        <w:r>
          <w:fldChar w:fldCharType="begin"/>
        </w:r>
        <w:r>
          <w:instrText>PAGE   \* MERGEFORMAT</w:instrText>
        </w:r>
        <w:r>
          <w:fldChar w:fldCharType="separate"/>
        </w:r>
        <w:r w:rsidR="00DB0FA3" w:rsidRPr="00DB0FA3">
          <w:rPr>
            <w:noProof/>
            <w:lang w:val="nl-NL"/>
          </w:rPr>
          <w:t>7</w:t>
        </w:r>
        <w:r>
          <w:fldChar w:fldCharType="end"/>
        </w:r>
      </w:p>
    </w:sdtContent>
  </w:sdt>
  <w:p w:rsidR="00E95BCA" w:rsidRDefault="00E95BCA">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7EB0" w:rsidRDefault="00167EB0" w:rsidP="00385B66">
      <w:pPr>
        <w:spacing w:after="0" w:line="240" w:lineRule="auto"/>
      </w:pPr>
      <w:r>
        <w:separator/>
      </w:r>
    </w:p>
  </w:footnote>
  <w:footnote w:type="continuationSeparator" w:id="0">
    <w:p w:rsidR="00167EB0" w:rsidRDefault="00167EB0" w:rsidP="00385B66">
      <w:pPr>
        <w:spacing w:after="0" w:line="240" w:lineRule="auto"/>
      </w:pPr>
      <w:r>
        <w:continuationSeparator/>
      </w:r>
    </w:p>
  </w:footnote>
  <w:footnote w:id="1">
    <w:p w:rsidR="00E95BCA" w:rsidRPr="008F09BD" w:rsidRDefault="00E95BCA" w:rsidP="008F09BD">
      <w:pPr>
        <w:pStyle w:val="Voetnoottekst"/>
        <w:jc w:val="both"/>
      </w:pPr>
      <w:r w:rsidRPr="004F1146">
        <w:rPr>
          <w:rStyle w:val="Voetnootmarkering"/>
          <w:sz w:val="18"/>
        </w:rPr>
        <w:footnoteRef/>
      </w:r>
      <w:r w:rsidRPr="004F1146">
        <w:rPr>
          <w:sz w:val="18"/>
        </w:rPr>
        <w:t xml:space="preserve"> The Analytic Hierarchy Process (AHP), introduced by Thomas Saaty (1980), is an effective tool for dealing with complex decision making, and may aid the decision maker to set priorities and make the best decision. By reducing complex decisions to a series of pairwise comparisons, and then synthesizing the results, the AHP helps to capture both subjective and objective aspects of a decision. In addition, the AHP incorporates a useful technique for checking the consistency of the decision maker’s evaluations, thus reducing the bias in the decision making process. (</w:t>
      </w:r>
      <w:hyperlink r:id="rId1" w:history="1">
        <w:r w:rsidRPr="004F1146">
          <w:rPr>
            <w:rStyle w:val="Hyperlink"/>
            <w:sz w:val="18"/>
          </w:rPr>
          <w:t>http://www.dii.unisi.it/~mocenni/Note_AHP.pdf</w:t>
        </w:r>
      </w:hyperlink>
      <w:r w:rsidRPr="004F1146">
        <w:rPr>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BCA" w:rsidRPr="00B12091" w:rsidRDefault="00E95BCA" w:rsidP="00B12091">
    <w:pPr>
      <w:pStyle w:val="Geenafstand"/>
      <w:spacing w:line="360" w:lineRule="auto"/>
      <w:rPr>
        <w:rFonts w:ascii="Verdana" w:hAnsi="Verdana"/>
        <w:b/>
        <w:sz w:val="18"/>
        <w:szCs w:val="18"/>
        <w:u w:val="single"/>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BCA" w:rsidRPr="00B12091" w:rsidRDefault="00E95BCA" w:rsidP="00BD1A89">
    <w:pPr>
      <w:pStyle w:val="Geenafstand"/>
      <w:spacing w:line="360" w:lineRule="auto"/>
      <w:rPr>
        <w:rFonts w:ascii="Verdana" w:hAnsi="Verdana"/>
        <w:b/>
        <w:sz w:val="18"/>
        <w:szCs w:val="18"/>
        <w:u w:val="single"/>
        <w:lang w:val="en-GB"/>
      </w:rPr>
    </w:pPr>
    <w:r w:rsidRPr="004D3DC6">
      <w:rPr>
        <w:rFonts w:ascii="Verdana" w:hAnsi="Verdana"/>
        <w:b/>
        <w:color w:val="4472C4" w:themeColor="accent5"/>
        <w:szCs w:val="18"/>
        <w:lang w:val="en-GB"/>
      </w:rPr>
      <w:t>Case study – Exercise: Multi-criteria analysis</w:t>
    </w:r>
    <w:r>
      <w:rPr>
        <w:rFonts w:ascii="Verdana" w:hAnsi="Verdana"/>
        <w:b/>
        <w:color w:val="4472C4" w:themeColor="accent5"/>
        <w:szCs w:val="18"/>
        <w:lang w:val="en-GB"/>
      </w:rPr>
      <w:t xml:space="preserve"> – the Late Payment Directive</w:t>
    </w:r>
  </w:p>
  <w:p w:rsidR="00E95BCA" w:rsidRPr="00BD1A89" w:rsidRDefault="00E95BCA">
    <w:pPr>
      <w:pStyle w:val="Koptekst"/>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0131C5"/>
    <w:multiLevelType w:val="hybridMultilevel"/>
    <w:tmpl w:val="FDF66C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0E7A80"/>
    <w:multiLevelType w:val="hybridMultilevel"/>
    <w:tmpl w:val="CCE4F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D336BE"/>
    <w:multiLevelType w:val="hybridMultilevel"/>
    <w:tmpl w:val="E8A8F4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9E6935"/>
    <w:multiLevelType w:val="hybridMultilevel"/>
    <w:tmpl w:val="E63E69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AF38FE"/>
    <w:multiLevelType w:val="hybridMultilevel"/>
    <w:tmpl w:val="68ACE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C438C9"/>
    <w:multiLevelType w:val="hybridMultilevel"/>
    <w:tmpl w:val="D534ABCA"/>
    <w:lvl w:ilvl="0" w:tplc="7B2E1076">
      <w:numFmt w:val="bullet"/>
      <w:lvlText w:val=""/>
      <w:lvlJc w:val="left"/>
      <w:pPr>
        <w:ind w:left="1080" w:hanging="360"/>
      </w:pPr>
      <w:rPr>
        <w:rFonts w:ascii="Wingdings" w:eastAsiaTheme="minorHAnsi" w:hAnsi="Wingding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0DB0C70"/>
    <w:multiLevelType w:val="hybridMultilevel"/>
    <w:tmpl w:val="3E9E93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FB5937"/>
    <w:multiLevelType w:val="hybridMultilevel"/>
    <w:tmpl w:val="004004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A643CEF"/>
    <w:multiLevelType w:val="hybridMultilevel"/>
    <w:tmpl w:val="E8A8F4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EC1F24"/>
    <w:multiLevelType w:val="hybridMultilevel"/>
    <w:tmpl w:val="E4AC3A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37C2BDC"/>
    <w:multiLevelType w:val="hybridMultilevel"/>
    <w:tmpl w:val="253A8B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1"/>
  </w:num>
  <w:num w:numId="4">
    <w:abstractNumId w:val="10"/>
  </w:num>
  <w:num w:numId="5">
    <w:abstractNumId w:val="9"/>
  </w:num>
  <w:num w:numId="6">
    <w:abstractNumId w:val="6"/>
  </w:num>
  <w:num w:numId="7">
    <w:abstractNumId w:val="2"/>
  </w:num>
  <w:num w:numId="8">
    <w:abstractNumId w:val="8"/>
  </w:num>
  <w:num w:numId="9">
    <w:abstractNumId w:val="4"/>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3E2"/>
    <w:rsid w:val="000E0237"/>
    <w:rsid w:val="00167EB0"/>
    <w:rsid w:val="001A05CF"/>
    <w:rsid w:val="001E2C24"/>
    <w:rsid w:val="001F3C28"/>
    <w:rsid w:val="001F4AE4"/>
    <w:rsid w:val="002063E2"/>
    <w:rsid w:val="0023731A"/>
    <w:rsid w:val="00256407"/>
    <w:rsid w:val="00292D45"/>
    <w:rsid w:val="002C3477"/>
    <w:rsid w:val="002E52EC"/>
    <w:rsid w:val="002F1F3D"/>
    <w:rsid w:val="00320EF1"/>
    <w:rsid w:val="00321EB1"/>
    <w:rsid w:val="00332567"/>
    <w:rsid w:val="00350830"/>
    <w:rsid w:val="00365038"/>
    <w:rsid w:val="00385B66"/>
    <w:rsid w:val="003B0D40"/>
    <w:rsid w:val="003F2283"/>
    <w:rsid w:val="00412807"/>
    <w:rsid w:val="00442FE4"/>
    <w:rsid w:val="004468BD"/>
    <w:rsid w:val="004D3DC6"/>
    <w:rsid w:val="004F1146"/>
    <w:rsid w:val="005104AE"/>
    <w:rsid w:val="005272D8"/>
    <w:rsid w:val="00564672"/>
    <w:rsid w:val="005A7802"/>
    <w:rsid w:val="005B3201"/>
    <w:rsid w:val="006100C4"/>
    <w:rsid w:val="00625542"/>
    <w:rsid w:val="006342A6"/>
    <w:rsid w:val="0068154D"/>
    <w:rsid w:val="006A6A85"/>
    <w:rsid w:val="006C3AAB"/>
    <w:rsid w:val="006C4B63"/>
    <w:rsid w:val="007568D5"/>
    <w:rsid w:val="007C7C93"/>
    <w:rsid w:val="00836A1E"/>
    <w:rsid w:val="0089564D"/>
    <w:rsid w:val="008C75B8"/>
    <w:rsid w:val="008D7E22"/>
    <w:rsid w:val="008F0147"/>
    <w:rsid w:val="008F09BD"/>
    <w:rsid w:val="009421A8"/>
    <w:rsid w:val="00955B7B"/>
    <w:rsid w:val="0097447A"/>
    <w:rsid w:val="00981A96"/>
    <w:rsid w:val="009A5314"/>
    <w:rsid w:val="009A5FAE"/>
    <w:rsid w:val="009B34D7"/>
    <w:rsid w:val="009E1B86"/>
    <w:rsid w:val="009E3313"/>
    <w:rsid w:val="00A24B98"/>
    <w:rsid w:val="00A36BEF"/>
    <w:rsid w:val="00A94F54"/>
    <w:rsid w:val="00AA3BE3"/>
    <w:rsid w:val="00AD0772"/>
    <w:rsid w:val="00AF2698"/>
    <w:rsid w:val="00B12091"/>
    <w:rsid w:val="00BA5F13"/>
    <w:rsid w:val="00BD1A89"/>
    <w:rsid w:val="00C6367A"/>
    <w:rsid w:val="00C77DAF"/>
    <w:rsid w:val="00C948EB"/>
    <w:rsid w:val="00D24B3E"/>
    <w:rsid w:val="00D362F3"/>
    <w:rsid w:val="00D41FBE"/>
    <w:rsid w:val="00D616F9"/>
    <w:rsid w:val="00D67B75"/>
    <w:rsid w:val="00D81A27"/>
    <w:rsid w:val="00D84DC9"/>
    <w:rsid w:val="00DB0FA3"/>
    <w:rsid w:val="00DF1A27"/>
    <w:rsid w:val="00E2468F"/>
    <w:rsid w:val="00E37E8E"/>
    <w:rsid w:val="00E50498"/>
    <w:rsid w:val="00E95BCA"/>
    <w:rsid w:val="00EF2C7B"/>
    <w:rsid w:val="00F53B84"/>
    <w:rsid w:val="00F63773"/>
    <w:rsid w:val="00F64156"/>
    <w:rsid w:val="00F65CD0"/>
    <w:rsid w:val="00FA49CE"/>
    <w:rsid w:val="00FE4D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7224E94-D9E1-42A8-9521-8DCD8CD1B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063E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2063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2063E2"/>
    <w:pPr>
      <w:ind w:left="720"/>
      <w:contextualSpacing/>
    </w:pPr>
  </w:style>
  <w:style w:type="paragraph" w:styleId="Bijschrift">
    <w:name w:val="caption"/>
    <w:basedOn w:val="Standaard"/>
    <w:next w:val="Standaard"/>
    <w:uiPriority w:val="35"/>
    <w:unhideWhenUsed/>
    <w:qFormat/>
    <w:rsid w:val="002063E2"/>
    <w:pPr>
      <w:spacing w:after="200" w:line="240" w:lineRule="auto"/>
    </w:pPr>
    <w:rPr>
      <w:i/>
      <w:iCs/>
      <w:color w:val="44546A" w:themeColor="text2"/>
      <w:sz w:val="18"/>
      <w:szCs w:val="18"/>
    </w:rPr>
  </w:style>
  <w:style w:type="paragraph" w:styleId="Koptekst">
    <w:name w:val="header"/>
    <w:basedOn w:val="Standaard"/>
    <w:link w:val="KoptekstChar"/>
    <w:uiPriority w:val="99"/>
    <w:unhideWhenUsed/>
    <w:rsid w:val="00385B66"/>
    <w:pPr>
      <w:tabs>
        <w:tab w:val="center" w:pos="4703"/>
        <w:tab w:val="right" w:pos="9406"/>
      </w:tabs>
      <w:spacing w:after="0" w:line="240" w:lineRule="auto"/>
    </w:pPr>
  </w:style>
  <w:style w:type="character" w:customStyle="1" w:styleId="KoptekstChar">
    <w:name w:val="Koptekst Char"/>
    <w:basedOn w:val="Standaardalinea-lettertype"/>
    <w:link w:val="Koptekst"/>
    <w:uiPriority w:val="99"/>
    <w:rsid w:val="00385B66"/>
  </w:style>
  <w:style w:type="paragraph" w:styleId="Voettekst">
    <w:name w:val="footer"/>
    <w:basedOn w:val="Standaard"/>
    <w:link w:val="VoettekstChar"/>
    <w:uiPriority w:val="99"/>
    <w:unhideWhenUsed/>
    <w:rsid w:val="00385B66"/>
    <w:pPr>
      <w:tabs>
        <w:tab w:val="center" w:pos="4703"/>
        <w:tab w:val="right" w:pos="9406"/>
      </w:tabs>
      <w:spacing w:after="0" w:line="240" w:lineRule="auto"/>
    </w:pPr>
  </w:style>
  <w:style w:type="character" w:customStyle="1" w:styleId="VoettekstChar">
    <w:name w:val="Voettekst Char"/>
    <w:basedOn w:val="Standaardalinea-lettertype"/>
    <w:link w:val="Voettekst"/>
    <w:uiPriority w:val="99"/>
    <w:rsid w:val="00385B66"/>
  </w:style>
  <w:style w:type="paragraph" w:styleId="Ballontekst">
    <w:name w:val="Balloon Text"/>
    <w:basedOn w:val="Standaard"/>
    <w:link w:val="BallontekstChar"/>
    <w:uiPriority w:val="99"/>
    <w:semiHidden/>
    <w:unhideWhenUsed/>
    <w:rsid w:val="00981A96"/>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81A96"/>
    <w:rPr>
      <w:rFonts w:ascii="Segoe UI" w:hAnsi="Segoe UI" w:cs="Segoe UI"/>
      <w:sz w:val="18"/>
      <w:szCs w:val="18"/>
    </w:rPr>
  </w:style>
  <w:style w:type="paragraph" w:styleId="Voetnoottekst">
    <w:name w:val="footnote text"/>
    <w:basedOn w:val="Standaard"/>
    <w:link w:val="VoetnoottekstChar"/>
    <w:uiPriority w:val="99"/>
    <w:semiHidden/>
    <w:unhideWhenUsed/>
    <w:rsid w:val="008F09BD"/>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8F09BD"/>
    <w:rPr>
      <w:sz w:val="20"/>
      <w:szCs w:val="20"/>
    </w:rPr>
  </w:style>
  <w:style w:type="character" w:styleId="Voetnootmarkering">
    <w:name w:val="footnote reference"/>
    <w:basedOn w:val="Standaardalinea-lettertype"/>
    <w:uiPriority w:val="99"/>
    <w:semiHidden/>
    <w:unhideWhenUsed/>
    <w:rsid w:val="008F09BD"/>
    <w:rPr>
      <w:vertAlign w:val="superscript"/>
    </w:rPr>
  </w:style>
  <w:style w:type="character" w:styleId="Hyperlink">
    <w:name w:val="Hyperlink"/>
    <w:basedOn w:val="Standaardalinea-lettertype"/>
    <w:uiPriority w:val="99"/>
    <w:unhideWhenUsed/>
    <w:rsid w:val="008F09BD"/>
    <w:rPr>
      <w:color w:val="0563C1" w:themeColor="hyperlink"/>
      <w:u w:val="single"/>
    </w:rPr>
  </w:style>
  <w:style w:type="paragraph" w:styleId="Normaalweb">
    <w:name w:val="Normal (Web)"/>
    <w:basedOn w:val="Standaard"/>
    <w:uiPriority w:val="99"/>
    <w:semiHidden/>
    <w:unhideWhenUsed/>
    <w:rsid w:val="00C6367A"/>
    <w:pPr>
      <w:spacing w:before="100" w:beforeAutospacing="1" w:after="100" w:afterAutospacing="1" w:line="240" w:lineRule="auto"/>
    </w:pPr>
    <w:rPr>
      <w:rFonts w:ascii="Times New Roman" w:eastAsia="Times New Roman" w:hAnsi="Times New Roman" w:cs="Times New Roman"/>
      <w:sz w:val="24"/>
      <w:szCs w:val="24"/>
    </w:rPr>
  </w:style>
  <w:style w:type="paragraph" w:styleId="Geenafstand">
    <w:name w:val="No Spacing"/>
    <w:uiPriority w:val="1"/>
    <w:qFormat/>
    <w:rsid w:val="004D3DC6"/>
    <w:pPr>
      <w:spacing w:after="0" w:line="240" w:lineRule="auto"/>
    </w:pPr>
    <w:rPr>
      <w:lang w:val="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429418">
      <w:bodyDiv w:val="1"/>
      <w:marLeft w:val="0"/>
      <w:marRight w:val="0"/>
      <w:marTop w:val="0"/>
      <w:marBottom w:val="0"/>
      <w:divBdr>
        <w:top w:val="none" w:sz="0" w:space="0" w:color="auto"/>
        <w:left w:val="none" w:sz="0" w:space="0" w:color="auto"/>
        <w:bottom w:val="none" w:sz="0" w:space="0" w:color="auto"/>
        <w:right w:val="none" w:sz="0" w:space="0" w:color="auto"/>
      </w:divBdr>
    </w:div>
    <w:div w:id="954868976">
      <w:bodyDiv w:val="1"/>
      <w:marLeft w:val="0"/>
      <w:marRight w:val="0"/>
      <w:marTop w:val="0"/>
      <w:marBottom w:val="0"/>
      <w:divBdr>
        <w:top w:val="none" w:sz="0" w:space="0" w:color="auto"/>
        <w:left w:val="none" w:sz="0" w:space="0" w:color="auto"/>
        <w:bottom w:val="none" w:sz="0" w:space="0" w:color="auto"/>
        <w:right w:val="none" w:sz="0" w:space="0" w:color="auto"/>
      </w:divBdr>
    </w:div>
    <w:div w:id="1005132818">
      <w:bodyDiv w:val="1"/>
      <w:marLeft w:val="0"/>
      <w:marRight w:val="0"/>
      <w:marTop w:val="0"/>
      <w:marBottom w:val="0"/>
      <w:divBdr>
        <w:top w:val="none" w:sz="0" w:space="0" w:color="auto"/>
        <w:left w:val="none" w:sz="0" w:space="0" w:color="auto"/>
        <w:bottom w:val="none" w:sz="0" w:space="0" w:color="auto"/>
        <w:right w:val="none" w:sz="0" w:space="0" w:color="auto"/>
      </w:divBdr>
    </w:div>
    <w:div w:id="1131631893">
      <w:bodyDiv w:val="1"/>
      <w:marLeft w:val="0"/>
      <w:marRight w:val="0"/>
      <w:marTop w:val="0"/>
      <w:marBottom w:val="0"/>
      <w:divBdr>
        <w:top w:val="none" w:sz="0" w:space="0" w:color="auto"/>
        <w:left w:val="none" w:sz="0" w:space="0" w:color="auto"/>
        <w:bottom w:val="none" w:sz="0" w:space="0" w:color="auto"/>
        <w:right w:val="none" w:sz="0" w:space="0" w:color="auto"/>
      </w:divBdr>
    </w:div>
    <w:div w:id="1219631207">
      <w:bodyDiv w:val="1"/>
      <w:marLeft w:val="0"/>
      <w:marRight w:val="0"/>
      <w:marTop w:val="0"/>
      <w:marBottom w:val="0"/>
      <w:divBdr>
        <w:top w:val="none" w:sz="0" w:space="0" w:color="auto"/>
        <w:left w:val="none" w:sz="0" w:space="0" w:color="auto"/>
        <w:bottom w:val="none" w:sz="0" w:space="0" w:color="auto"/>
        <w:right w:val="none" w:sz="0" w:space="0" w:color="auto"/>
      </w:divBdr>
    </w:div>
    <w:div w:id="1344474113">
      <w:bodyDiv w:val="1"/>
      <w:marLeft w:val="0"/>
      <w:marRight w:val="0"/>
      <w:marTop w:val="0"/>
      <w:marBottom w:val="0"/>
      <w:divBdr>
        <w:top w:val="none" w:sz="0" w:space="0" w:color="auto"/>
        <w:left w:val="none" w:sz="0" w:space="0" w:color="auto"/>
        <w:bottom w:val="none" w:sz="0" w:space="0" w:color="auto"/>
        <w:right w:val="none" w:sz="0" w:space="0" w:color="auto"/>
      </w:divBdr>
    </w:div>
    <w:div w:id="1480221922">
      <w:bodyDiv w:val="1"/>
      <w:marLeft w:val="0"/>
      <w:marRight w:val="0"/>
      <w:marTop w:val="0"/>
      <w:marBottom w:val="0"/>
      <w:divBdr>
        <w:top w:val="none" w:sz="0" w:space="0" w:color="auto"/>
        <w:left w:val="none" w:sz="0" w:space="0" w:color="auto"/>
        <w:bottom w:val="none" w:sz="0" w:space="0" w:color="auto"/>
        <w:right w:val="none" w:sz="0" w:space="0" w:color="auto"/>
      </w:divBdr>
    </w:div>
    <w:div w:id="1769695531">
      <w:bodyDiv w:val="1"/>
      <w:marLeft w:val="0"/>
      <w:marRight w:val="0"/>
      <w:marTop w:val="0"/>
      <w:marBottom w:val="0"/>
      <w:divBdr>
        <w:top w:val="none" w:sz="0" w:space="0" w:color="auto"/>
        <w:left w:val="none" w:sz="0" w:space="0" w:color="auto"/>
        <w:bottom w:val="none" w:sz="0" w:space="0" w:color="auto"/>
        <w:right w:val="none" w:sz="0" w:space="0" w:color="auto"/>
      </w:divBdr>
    </w:div>
    <w:div w:id="1975718017">
      <w:bodyDiv w:val="1"/>
      <w:marLeft w:val="0"/>
      <w:marRight w:val="0"/>
      <w:marTop w:val="0"/>
      <w:marBottom w:val="0"/>
      <w:divBdr>
        <w:top w:val="none" w:sz="0" w:space="0" w:color="auto"/>
        <w:left w:val="none" w:sz="0" w:space="0" w:color="auto"/>
        <w:bottom w:val="none" w:sz="0" w:space="0" w:color="auto"/>
        <w:right w:val="none" w:sz="0" w:space="0" w:color="auto"/>
      </w:divBdr>
    </w:div>
    <w:div w:id="208648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image" Target="media/image8.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14.png"/><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image" Target="media/image13.png"/><Relationship Id="rId10" Type="http://schemas.openxmlformats.org/officeDocument/2006/relationships/footer" Target="footer1.xm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dii.unisi.it/~mocenni/Note_AHP.pdf"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1763040731019734E-2"/>
          <c:y val="4.4991214941107562E-2"/>
          <c:w val="0.50419799747253813"/>
          <c:h val="0.82106331749853578"/>
        </c:manualLayout>
      </c:layout>
      <c:barChart>
        <c:barDir val="bar"/>
        <c:grouping val="clustered"/>
        <c:varyColors val="0"/>
        <c:ser>
          <c:idx val="0"/>
          <c:order val="0"/>
          <c:tx>
            <c:strRef>
              <c:f>Inputs!$E$23</c:f>
              <c:strCache>
                <c:ptCount val="1"/>
                <c:pt idx="0">
                  <c:v>Firms Administrative sanctions</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Inputs!$F$23</c:f>
              <c:numCache>
                <c:formatCode>0.00%</c:formatCode>
                <c:ptCount val="1"/>
                <c:pt idx="0">
                  <c:v>2.3E-2</c:v>
                </c:pt>
              </c:numCache>
            </c:numRef>
          </c:val>
        </c:ser>
        <c:ser>
          <c:idx val="1"/>
          <c:order val="1"/>
          <c:tx>
            <c:strRef>
              <c:f>Inputs!$E$24</c:f>
              <c:strCache>
                <c:ptCount val="1"/>
                <c:pt idx="0">
                  <c:v>Firms Stricter payment terms</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Inputs!$F$24</c:f>
              <c:numCache>
                <c:formatCode>0.00%</c:formatCode>
                <c:ptCount val="1"/>
                <c:pt idx="0">
                  <c:v>5.6000000000000001E-2</c:v>
                </c:pt>
              </c:numCache>
            </c:numRef>
          </c:val>
        </c:ser>
        <c:ser>
          <c:idx val="2"/>
          <c:order val="2"/>
          <c:tx>
            <c:strRef>
              <c:f>Inputs!$E$25</c:f>
              <c:strCache>
                <c:ptCount val="1"/>
                <c:pt idx="0">
                  <c:v>Firms Transparency of payment practices</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Inputs!$F$25</c:f>
              <c:numCache>
                <c:formatCode>0%</c:formatCode>
                <c:ptCount val="1"/>
                <c:pt idx="0">
                  <c:v>0.09</c:v>
                </c:pt>
              </c:numCache>
            </c:numRef>
          </c:val>
        </c:ser>
        <c:ser>
          <c:idx val="3"/>
          <c:order val="3"/>
          <c:tx>
            <c:strRef>
              <c:f>Inputs!$E$26</c:f>
              <c:strCache>
                <c:ptCount val="1"/>
                <c:pt idx="0">
                  <c:v>Firms Alternative Dispute Resolution System</c:v>
                </c:pt>
              </c:strCache>
            </c:strRef>
          </c:tx>
          <c:spPr>
            <a:solidFill>
              <a:schemeClr val="accent1">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Inputs!$F$26</c:f>
              <c:numCache>
                <c:formatCode>0.00%</c:formatCode>
                <c:ptCount val="1"/>
                <c:pt idx="0">
                  <c:v>-0.217</c:v>
                </c:pt>
              </c:numCache>
            </c:numRef>
          </c:val>
        </c:ser>
        <c:ser>
          <c:idx val="4"/>
          <c:order val="4"/>
          <c:tx>
            <c:strRef>
              <c:f>Inputs!$E$27</c:f>
              <c:strCache>
                <c:ptCount val="1"/>
                <c:pt idx="0">
                  <c:v>Applications Tax regulations</c:v>
                </c:pt>
              </c:strCache>
            </c:strRef>
          </c:tx>
          <c:spPr>
            <a:solidFill>
              <a:schemeClr val="accent3">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Inputs!$F$27</c:f>
              <c:numCache>
                <c:formatCode>0.00%</c:formatCode>
                <c:ptCount val="1"/>
                <c:pt idx="0">
                  <c:v>0.61399999999999999</c:v>
                </c:pt>
              </c:numCache>
            </c:numRef>
          </c:val>
        </c:ser>
        <c:dLbls>
          <c:dLblPos val="outEnd"/>
          <c:showLegendKey val="0"/>
          <c:showVal val="1"/>
          <c:showCatName val="0"/>
          <c:showSerName val="0"/>
          <c:showPercent val="0"/>
          <c:showBubbleSize val="0"/>
        </c:dLbls>
        <c:gapWidth val="100"/>
        <c:overlap val="-75"/>
        <c:axId val="432845608"/>
        <c:axId val="432844040"/>
      </c:barChart>
      <c:catAx>
        <c:axId val="432845608"/>
        <c:scaling>
          <c:orientation val="minMax"/>
        </c:scaling>
        <c:delete val="1"/>
        <c:axPos val="l"/>
        <c:numFmt formatCode="General" sourceLinked="1"/>
        <c:majorTickMark val="none"/>
        <c:minorTickMark val="none"/>
        <c:tickLblPos val="nextTo"/>
        <c:crossAx val="432844040"/>
        <c:crosses val="autoZero"/>
        <c:auto val="1"/>
        <c:lblAlgn val="ctr"/>
        <c:lblOffset val="100"/>
        <c:noMultiLvlLbl val="0"/>
      </c:catAx>
      <c:valAx>
        <c:axId val="432844040"/>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0"/>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32845608"/>
        <c:crossesAt val="1"/>
        <c:crossBetween val="between"/>
        <c:majorUnit val="0.2"/>
      </c:valAx>
      <c:spPr>
        <a:noFill/>
        <a:ln>
          <a:noFill/>
        </a:ln>
        <a:effectLst/>
      </c:spPr>
    </c:plotArea>
    <c:legend>
      <c:legendPos val="r"/>
      <c:layout>
        <c:manualLayout>
          <c:xMode val="edge"/>
          <c:yMode val="edge"/>
          <c:x val="0.59047465733449978"/>
          <c:y val="4.0862888006767746E-2"/>
          <c:w val="0.39767349081364828"/>
          <c:h val="0.8407136504631135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A0D44-F75B-48B2-8CC4-F4CDAE48C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3242</TotalTime>
  <Pages>16</Pages>
  <Words>3116</Words>
  <Characters>17767</Characters>
  <Application>Microsoft Office Word</Application>
  <DocSecurity>0</DocSecurity>
  <Lines>148</Lines>
  <Paragraphs>41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ROOSEN Jorg</dc:creator>
  <cp:keywords/>
  <dc:description/>
  <cp:lastModifiedBy>ROOSEN Jorg</cp:lastModifiedBy>
  <cp:revision>44</cp:revision>
  <cp:lastPrinted>2019-02-18T13:51:00Z</cp:lastPrinted>
  <dcterms:created xsi:type="dcterms:W3CDTF">2019-02-12T07:00:00Z</dcterms:created>
  <dcterms:modified xsi:type="dcterms:W3CDTF">2019-02-19T15:03:00Z</dcterms:modified>
</cp:coreProperties>
</file>